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方正小标宋简体" w:hAnsi="Times New Roman" w:eastAsia="方正小标宋简体"/>
          <w:sz w:val="36"/>
          <w:szCs w:val="36"/>
        </w:rPr>
      </w:pPr>
      <w:r>
        <w:rPr>
          <w:rFonts w:hint="eastAsia" w:ascii="方正小标宋简体" w:hAnsi="Times New Roman" w:eastAsia="方正小标宋简体"/>
          <w:sz w:val="36"/>
          <w:szCs w:val="36"/>
        </w:rPr>
        <w:t>个旧市人民检察院2019年度部门决算公开说明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720" w:firstLineChars="200"/>
        <w:jc w:val="center"/>
        <w:textAlignment w:val="auto"/>
        <w:rPr>
          <w:rFonts w:ascii="方正小标宋简体" w:hAnsi="Times New Roman" w:eastAsia="方正小标宋简体"/>
          <w:sz w:val="36"/>
          <w:szCs w:val="36"/>
        </w:rPr>
      </w:pPr>
      <w:r>
        <w:rPr>
          <w:rFonts w:hint="eastAsia" w:ascii="方正小标宋简体" w:hAnsi="Times New Roman" w:eastAsia="方正小标宋简体"/>
          <w:sz w:val="36"/>
          <w:szCs w:val="36"/>
        </w:rPr>
        <w:t>目录</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黑体" w:hAnsi="黑体" w:eastAsia="黑体"/>
          <w:sz w:val="30"/>
          <w:szCs w:val="30"/>
        </w:rPr>
      </w:pPr>
      <w:r>
        <w:rPr>
          <w:rFonts w:hint="eastAsia" w:ascii="黑体" w:hAnsi="黑体" w:eastAsia="黑体"/>
          <w:sz w:val="30"/>
          <w:szCs w:val="30"/>
        </w:rPr>
        <w:t>第一部分  个旧市人民检察院概况</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楷体" w:hAnsi="楷体" w:eastAsia="楷体"/>
          <w:sz w:val="30"/>
          <w:szCs w:val="30"/>
        </w:rPr>
      </w:pPr>
      <w:r>
        <w:rPr>
          <w:rFonts w:hint="eastAsia" w:ascii="楷体" w:hAnsi="楷体" w:eastAsia="楷体"/>
          <w:sz w:val="30"/>
          <w:szCs w:val="30"/>
        </w:rPr>
        <w:t>一、主要职能</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楷体" w:hAnsi="楷体" w:eastAsia="楷体"/>
          <w:sz w:val="30"/>
          <w:szCs w:val="30"/>
        </w:rPr>
      </w:pPr>
      <w:r>
        <w:rPr>
          <w:rFonts w:hint="eastAsia" w:ascii="楷体" w:hAnsi="楷体" w:eastAsia="楷体"/>
          <w:sz w:val="30"/>
          <w:szCs w:val="30"/>
        </w:rPr>
        <w:t>二、部门基本情况</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黑体" w:hAnsi="黑体" w:eastAsia="黑体"/>
          <w:sz w:val="30"/>
          <w:szCs w:val="30"/>
        </w:rPr>
      </w:pPr>
      <w:r>
        <w:rPr>
          <w:rFonts w:hint="eastAsia" w:ascii="黑体" w:hAnsi="黑体" w:eastAsia="黑体"/>
          <w:sz w:val="30"/>
          <w:szCs w:val="30"/>
        </w:rPr>
        <w:t>第二部分  2019年度部门决算表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楷体" w:hAnsi="楷体" w:eastAsia="楷体"/>
          <w:sz w:val="30"/>
          <w:szCs w:val="30"/>
        </w:rPr>
      </w:pPr>
      <w:r>
        <w:rPr>
          <w:rFonts w:hint="eastAsia" w:ascii="楷体" w:hAnsi="楷体" w:eastAsia="楷体"/>
          <w:sz w:val="30"/>
          <w:szCs w:val="30"/>
        </w:rPr>
        <w:t>一、收入支出决算总表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楷体" w:hAnsi="楷体" w:eastAsia="楷体"/>
          <w:sz w:val="30"/>
          <w:szCs w:val="30"/>
        </w:rPr>
      </w:pPr>
      <w:r>
        <w:rPr>
          <w:rFonts w:hint="eastAsia" w:ascii="楷体" w:hAnsi="楷体" w:eastAsia="楷体"/>
          <w:sz w:val="30"/>
          <w:szCs w:val="30"/>
        </w:rPr>
        <w:t>二、收入决算表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楷体" w:hAnsi="楷体" w:eastAsia="楷体"/>
          <w:sz w:val="30"/>
          <w:szCs w:val="30"/>
        </w:rPr>
      </w:pPr>
      <w:r>
        <w:rPr>
          <w:rFonts w:hint="eastAsia" w:ascii="楷体" w:hAnsi="楷体" w:eastAsia="楷体"/>
          <w:sz w:val="30"/>
          <w:szCs w:val="30"/>
        </w:rPr>
        <w:t>三、支出决算表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楷体" w:hAnsi="楷体" w:eastAsia="楷体"/>
          <w:sz w:val="30"/>
          <w:szCs w:val="30"/>
        </w:rPr>
      </w:pPr>
      <w:r>
        <w:rPr>
          <w:rFonts w:hint="eastAsia" w:ascii="楷体" w:hAnsi="楷体" w:eastAsia="楷体"/>
          <w:sz w:val="30"/>
          <w:szCs w:val="30"/>
        </w:rPr>
        <w:t>四、财政拨款收入支出决算总表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楷体" w:hAnsi="楷体" w:eastAsia="楷体"/>
          <w:sz w:val="30"/>
          <w:szCs w:val="30"/>
        </w:rPr>
      </w:pPr>
      <w:r>
        <w:rPr>
          <w:rFonts w:hint="eastAsia" w:ascii="楷体" w:hAnsi="楷体" w:eastAsia="楷体"/>
          <w:sz w:val="30"/>
          <w:szCs w:val="30"/>
        </w:rPr>
        <w:t>五、一般公共预算财政拨款收入支出决算表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楷体" w:hAnsi="楷体" w:eastAsia="楷体"/>
          <w:sz w:val="30"/>
          <w:szCs w:val="30"/>
        </w:rPr>
      </w:pPr>
      <w:r>
        <w:rPr>
          <w:rFonts w:hint="eastAsia" w:ascii="楷体" w:hAnsi="楷体" w:eastAsia="楷体"/>
          <w:sz w:val="30"/>
          <w:szCs w:val="30"/>
        </w:rPr>
        <w:t>六、一般公共预算财政拨款基本支出决算表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楷体" w:hAnsi="楷体" w:eastAsia="楷体"/>
          <w:sz w:val="30"/>
          <w:szCs w:val="30"/>
        </w:rPr>
      </w:pPr>
      <w:r>
        <w:rPr>
          <w:rFonts w:hint="eastAsia" w:ascii="楷体" w:hAnsi="楷体" w:eastAsia="楷体"/>
          <w:sz w:val="30"/>
          <w:szCs w:val="30"/>
        </w:rPr>
        <w:t>七、政府性基金预算财政拨款收入支出决算表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楷体" w:hAnsi="楷体" w:eastAsia="楷体"/>
          <w:sz w:val="30"/>
          <w:szCs w:val="30"/>
        </w:rPr>
      </w:pPr>
      <w:r>
        <w:rPr>
          <w:rFonts w:hint="eastAsia" w:ascii="楷体" w:hAnsi="楷体" w:eastAsia="楷体"/>
          <w:sz w:val="30"/>
          <w:szCs w:val="30"/>
        </w:rPr>
        <w:t>八、“三公”经费、行政参公单位机关运行经费情况表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黑体" w:hAnsi="黑体" w:eastAsia="黑体"/>
          <w:sz w:val="30"/>
          <w:szCs w:val="30"/>
        </w:rPr>
      </w:pPr>
      <w:r>
        <w:rPr>
          <w:rFonts w:hint="eastAsia" w:ascii="黑体" w:hAnsi="黑体" w:eastAsia="黑体"/>
          <w:sz w:val="30"/>
          <w:szCs w:val="30"/>
        </w:rPr>
        <w:t>第三部分  2019年度部门决算情况说明</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楷体" w:hAnsi="楷体" w:eastAsia="楷体"/>
          <w:sz w:val="30"/>
          <w:szCs w:val="30"/>
        </w:rPr>
      </w:pPr>
      <w:r>
        <w:rPr>
          <w:rFonts w:hint="eastAsia" w:ascii="楷体" w:hAnsi="楷体" w:eastAsia="楷体"/>
          <w:sz w:val="30"/>
          <w:szCs w:val="30"/>
        </w:rPr>
        <w:t>一、收入决算情况说明</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楷体" w:hAnsi="楷体" w:eastAsia="楷体"/>
          <w:sz w:val="30"/>
          <w:szCs w:val="30"/>
        </w:rPr>
      </w:pPr>
      <w:r>
        <w:rPr>
          <w:rFonts w:hint="eastAsia" w:ascii="楷体" w:hAnsi="楷体" w:eastAsia="楷体"/>
          <w:sz w:val="30"/>
          <w:szCs w:val="30"/>
        </w:rPr>
        <w:t>二、支出决算情况说明</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楷体" w:hAnsi="楷体" w:eastAsia="楷体"/>
          <w:sz w:val="30"/>
          <w:szCs w:val="30"/>
        </w:rPr>
      </w:pPr>
      <w:r>
        <w:rPr>
          <w:rFonts w:hint="eastAsia" w:ascii="楷体" w:hAnsi="楷体" w:eastAsia="楷体"/>
          <w:sz w:val="30"/>
          <w:szCs w:val="30"/>
        </w:rPr>
        <w:t>三、一般公共预算财政拨款支出决算情况说明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楷体" w:hAnsi="楷体" w:eastAsia="楷体"/>
          <w:sz w:val="30"/>
          <w:szCs w:val="30"/>
        </w:rPr>
      </w:pPr>
      <w:r>
        <w:rPr>
          <w:rFonts w:hint="eastAsia" w:ascii="楷体" w:hAnsi="楷体" w:eastAsia="楷体"/>
          <w:sz w:val="30"/>
          <w:szCs w:val="30"/>
        </w:rPr>
        <w:t>四、一般公共预算财政拨款“三公”经费支出决算情况说明</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黑体" w:hAnsi="黑体" w:eastAsia="黑体"/>
          <w:sz w:val="30"/>
          <w:szCs w:val="30"/>
        </w:rPr>
      </w:pPr>
      <w:r>
        <w:rPr>
          <w:rFonts w:hint="eastAsia" w:ascii="黑体" w:hAnsi="黑体" w:eastAsia="黑体"/>
          <w:sz w:val="30"/>
          <w:szCs w:val="30"/>
        </w:rPr>
        <w:t>第四部分  其他重要事项及相关口径情况说明</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楷体" w:hAnsi="楷体" w:eastAsia="楷体"/>
          <w:sz w:val="30"/>
          <w:szCs w:val="30"/>
        </w:rPr>
      </w:pPr>
      <w:r>
        <w:rPr>
          <w:rFonts w:hint="eastAsia" w:ascii="楷体" w:hAnsi="楷体" w:eastAsia="楷体"/>
          <w:sz w:val="30"/>
          <w:szCs w:val="30"/>
        </w:rPr>
        <w:t>一、机关运行经费支出情况</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楷体" w:hAnsi="楷体" w:eastAsia="楷体"/>
          <w:sz w:val="30"/>
          <w:szCs w:val="30"/>
        </w:rPr>
      </w:pPr>
      <w:r>
        <w:rPr>
          <w:rFonts w:hint="eastAsia" w:ascii="楷体" w:hAnsi="楷体" w:eastAsia="楷体"/>
          <w:sz w:val="30"/>
          <w:szCs w:val="30"/>
        </w:rPr>
        <w:t>二、国有资产占有情况</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楷体" w:hAnsi="楷体" w:eastAsia="楷体"/>
          <w:sz w:val="30"/>
          <w:szCs w:val="30"/>
        </w:rPr>
      </w:pPr>
      <w:r>
        <w:rPr>
          <w:rFonts w:hint="eastAsia" w:ascii="楷体" w:hAnsi="楷体" w:eastAsia="楷体"/>
          <w:sz w:val="30"/>
          <w:szCs w:val="30"/>
        </w:rPr>
        <w:t>三、政府采购支出情况</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楷体" w:hAnsi="楷体" w:eastAsia="楷体"/>
          <w:sz w:val="30"/>
          <w:szCs w:val="30"/>
        </w:rPr>
      </w:pPr>
      <w:r>
        <w:rPr>
          <w:rFonts w:hint="eastAsia" w:ascii="楷体" w:hAnsi="楷体" w:eastAsia="楷体"/>
          <w:sz w:val="30"/>
          <w:szCs w:val="30"/>
        </w:rPr>
        <w:t>四、部门绩效自评情况</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楷体" w:hAnsi="楷体" w:eastAsia="楷体"/>
          <w:sz w:val="30"/>
          <w:szCs w:val="30"/>
        </w:rPr>
      </w:pPr>
      <w:r>
        <w:rPr>
          <w:rFonts w:hint="eastAsia" w:ascii="楷体" w:hAnsi="楷体" w:eastAsia="楷体"/>
          <w:sz w:val="30"/>
          <w:szCs w:val="30"/>
        </w:rPr>
        <w:t>（一）项目支出绩效自评报告（表）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楷体" w:hAnsi="楷体" w:eastAsia="楷体"/>
          <w:sz w:val="30"/>
          <w:szCs w:val="30"/>
        </w:rPr>
      </w:pPr>
      <w:r>
        <w:rPr>
          <w:rFonts w:hint="eastAsia" w:ascii="楷体" w:hAnsi="楷体" w:eastAsia="楷体"/>
          <w:sz w:val="30"/>
          <w:szCs w:val="30"/>
        </w:rPr>
        <w:t>（二）部门整体支出绩效自评报告</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楷体" w:hAnsi="楷体" w:eastAsia="楷体"/>
          <w:sz w:val="30"/>
          <w:szCs w:val="30"/>
        </w:rPr>
      </w:pPr>
      <w:r>
        <w:rPr>
          <w:rFonts w:hint="eastAsia" w:ascii="楷体" w:hAnsi="楷体" w:eastAsia="楷体"/>
          <w:sz w:val="30"/>
          <w:szCs w:val="30"/>
        </w:rPr>
        <w:t>（三）部门整体支出绩效自评表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楷体" w:hAnsi="楷体" w:eastAsia="楷体"/>
          <w:sz w:val="30"/>
          <w:szCs w:val="30"/>
        </w:rPr>
      </w:pPr>
      <w:r>
        <w:rPr>
          <w:rFonts w:hint="eastAsia" w:ascii="楷体" w:hAnsi="楷体" w:eastAsia="楷体"/>
          <w:sz w:val="30"/>
          <w:szCs w:val="30"/>
        </w:rPr>
        <w:t>五、其他重要事项情况说明</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楷体" w:hAnsi="楷体" w:eastAsia="楷体"/>
          <w:sz w:val="30"/>
          <w:szCs w:val="30"/>
        </w:rPr>
      </w:pPr>
      <w:r>
        <w:rPr>
          <w:rFonts w:hint="eastAsia" w:ascii="楷体" w:hAnsi="楷体" w:eastAsia="楷体"/>
          <w:sz w:val="30"/>
          <w:szCs w:val="30"/>
        </w:rPr>
        <w:t>六、相关口径说明</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黑体" w:hAnsi="黑体" w:eastAsia="黑体"/>
          <w:sz w:val="30"/>
          <w:szCs w:val="30"/>
        </w:rPr>
      </w:pPr>
      <w:r>
        <w:rPr>
          <w:rFonts w:hint="eastAsia" w:ascii="黑体" w:hAnsi="黑体" w:eastAsia="黑体"/>
          <w:sz w:val="30"/>
          <w:szCs w:val="30"/>
        </w:rPr>
        <w:t>第五部分  名词解释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 </w:t>
      </w: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p>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第一部分 个旧市人民检察院概况</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一、主要职能</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（一）主要职能</w:t>
      </w:r>
    </w:p>
    <w:p>
      <w:pPr>
        <w:spacing w:line="56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检察机关是国家法律的监督机关，通过行使检察权，对危害国家安全案、危害公共安全案、侵犯公民人身权利民主权利案和其他重大犯罪案件行使检察权；对公安机关侦查的案件进行审查，决定是否逮捕、起诉或者免予起诉；对刑事案件提起公诉、支持公诉；对公安机关、人民法院和监狱、看守所、劳动改造机关的活动是否合法，实行监督。</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（二）2019年度重点工作任务介绍</w:t>
      </w:r>
    </w:p>
    <w:p>
      <w:pPr>
        <w:spacing w:line="560" w:lineRule="exact"/>
        <w:ind w:firstLine="600" w:firstLineChars="200"/>
        <w:rPr>
          <w:rFonts w:hint="eastAsia" w:ascii="Times New Roman" w:hAnsi="Times New Roman" w:eastAsia="仿宋_GB2312"/>
          <w:sz w:val="30"/>
          <w:szCs w:val="30"/>
        </w:rPr>
      </w:pPr>
      <w:r>
        <w:rPr>
          <w:rFonts w:hint="eastAsia" w:ascii="Times New Roman" w:hAnsi="Times New Roman" w:eastAsia="仿宋_GB2312"/>
          <w:sz w:val="30"/>
          <w:szCs w:val="30"/>
        </w:rPr>
        <w:t>认真贯彻落实中央、省委和州委政法工作会议精神，围绕个旧市以资源型城市转型为主线和市委“12536”总体发展思路，坚持以十九大及十九届二中、三中全会精神为统领，深入学习习近平新时代中国特色社会主义思想，坚持党对检察工作的绝对领导，按照“五位一体”总体布局、“四个全面”战略布局，全面深化改革，全面加强检察监督职能，努力为个旧经济社会发展提供有力法治保障，更好地满足人民群众日益增长的美好生活需要。</w:t>
      </w:r>
    </w:p>
    <w:p>
      <w:pPr>
        <w:pStyle w:val="8"/>
        <w:widowControl/>
        <w:spacing w:before="0" w:beforeLines="0" w:after="0" w:afterLines="0" w:line="590" w:lineRule="atLeast"/>
        <w:ind w:left="0" w:right="0" w:firstLine="600"/>
        <w:rPr>
          <w:rFonts w:ascii="黑体" w:hAnsi="黑体" w:eastAsia="黑体" w:cs="黑体"/>
          <w:color w:val="auto"/>
          <w:kern w:val="0"/>
          <w:sz w:val="30"/>
          <w:szCs w:val="30"/>
        </w:rPr>
      </w:pPr>
      <w:r>
        <w:rPr>
          <w:rFonts w:hint="eastAsia" w:ascii="黑体" w:hAnsi="黑体" w:eastAsia="黑体" w:cs="黑体"/>
          <w:color w:val="auto"/>
          <w:kern w:val="0"/>
          <w:sz w:val="30"/>
          <w:szCs w:val="30"/>
        </w:rPr>
        <w:t>二、部门基本情况</w:t>
      </w:r>
    </w:p>
    <w:p>
      <w:pPr>
        <w:pStyle w:val="8"/>
        <w:widowControl/>
        <w:spacing w:before="0" w:beforeLines="0" w:after="0" w:afterLines="0" w:line="590" w:lineRule="atLeast"/>
        <w:ind w:left="0" w:right="0" w:firstLine="600"/>
        <w:rPr>
          <w:rFonts w:ascii="楷体" w:hAnsi="楷体" w:eastAsia="楷体" w:cs="楷体"/>
          <w:color w:val="auto"/>
          <w:kern w:val="0"/>
          <w:sz w:val="30"/>
          <w:szCs w:val="30"/>
        </w:rPr>
      </w:pPr>
      <w:r>
        <w:rPr>
          <w:rFonts w:hint="eastAsia" w:ascii="楷体" w:hAnsi="楷体" w:eastAsia="楷体" w:cs="楷体"/>
          <w:color w:val="auto"/>
          <w:kern w:val="0"/>
          <w:sz w:val="30"/>
          <w:szCs w:val="30"/>
        </w:rPr>
        <w:t>（一）机构情况</w:t>
      </w:r>
    </w:p>
    <w:p>
      <w:pPr>
        <w:spacing w:line="560" w:lineRule="exact"/>
        <w:ind w:firstLine="600" w:firstLineChars="200"/>
        <w:rPr>
          <w:rFonts w:hint="eastAsia" w:ascii="Times New Roman" w:hAnsi="Times New Roman" w:eastAsia="仿宋_GB2312"/>
          <w:sz w:val="30"/>
          <w:szCs w:val="30"/>
        </w:rPr>
      </w:pPr>
      <w:r>
        <w:rPr>
          <w:rFonts w:hint="eastAsia" w:ascii="Times New Roman" w:hAnsi="Times New Roman" w:eastAsia="仿宋_GB2312"/>
          <w:sz w:val="30"/>
          <w:szCs w:val="30"/>
        </w:rPr>
        <w:t>2019年个旧市人民检察院内设8个职能机构，分别是第一检察部、第二检察部、第三检察部、第四检察部、第五检察部、综合业务部、政治部和办公室；另有3个派驻检察室。</w:t>
      </w:r>
    </w:p>
    <w:p>
      <w:pPr>
        <w:pStyle w:val="8"/>
        <w:widowControl/>
        <w:spacing w:before="0" w:beforeLines="0" w:after="0" w:afterLines="0" w:line="590" w:lineRule="atLeast"/>
        <w:ind w:left="0" w:right="0" w:firstLine="600"/>
        <w:rPr>
          <w:rFonts w:hint="eastAsia" w:ascii="楷体" w:hAnsi="楷体" w:eastAsia="楷体" w:cs="楷体"/>
          <w:color w:val="auto"/>
          <w:kern w:val="0"/>
          <w:sz w:val="30"/>
          <w:szCs w:val="30"/>
        </w:rPr>
      </w:pPr>
      <w:r>
        <w:rPr>
          <w:rFonts w:hint="eastAsia" w:ascii="楷体" w:hAnsi="楷体" w:eastAsia="楷体" w:cs="楷体"/>
          <w:color w:val="auto"/>
          <w:kern w:val="0"/>
          <w:sz w:val="30"/>
          <w:szCs w:val="30"/>
        </w:rPr>
        <w:t>（二）部门人员和车辆的编制及实有情况</w:t>
      </w:r>
    </w:p>
    <w:p>
      <w:pPr>
        <w:spacing w:line="560" w:lineRule="exact"/>
        <w:ind w:firstLine="600" w:firstLineChars="200"/>
        <w:rPr>
          <w:rFonts w:hint="eastAsia" w:ascii="Times New Roman" w:hAnsi="Times New Roman" w:eastAsia="仿宋_GB2312"/>
          <w:sz w:val="30"/>
          <w:szCs w:val="30"/>
        </w:rPr>
      </w:pPr>
      <w:r>
        <w:rPr>
          <w:rFonts w:hint="eastAsia" w:ascii="Times New Roman" w:hAnsi="Times New Roman" w:eastAsia="仿宋_GB2312"/>
          <w:sz w:val="30"/>
          <w:szCs w:val="30"/>
        </w:rPr>
        <w:t>个旧市人民检察院2019年末实有人员编制53人。其中：行政编制53人（含行政工勤编制2人），事业编制0人（含参公管理事业编制0人）；在职在编实有行政人员51人（含行政工勤人员1人），事业人员0人（含参公管理事业人员0人）。其他人员19人，主要是聘用制书记员。</w:t>
      </w:r>
    </w:p>
    <w:p>
      <w:pPr>
        <w:spacing w:line="560" w:lineRule="exact"/>
        <w:ind w:firstLine="600" w:firstLineChars="200"/>
        <w:rPr>
          <w:rFonts w:hint="eastAsia" w:ascii="Times New Roman" w:hAnsi="Times New Roman" w:eastAsia="仿宋_GB2312"/>
          <w:sz w:val="30"/>
          <w:szCs w:val="30"/>
        </w:rPr>
      </w:pPr>
      <w:r>
        <w:rPr>
          <w:rFonts w:hint="eastAsia" w:ascii="Times New Roman" w:hAnsi="Times New Roman" w:eastAsia="仿宋_GB2312"/>
          <w:sz w:val="30"/>
          <w:szCs w:val="30"/>
        </w:rPr>
        <w:t>离退休人员26人。其中：离休2人，退休24人。</w:t>
      </w:r>
    </w:p>
    <w:p>
      <w:pPr>
        <w:spacing w:line="560" w:lineRule="exact"/>
        <w:ind w:firstLine="600" w:firstLineChars="200"/>
        <w:rPr>
          <w:rFonts w:hint="eastAsia" w:ascii="Times New Roman" w:hAnsi="Times New Roman" w:eastAsia="仿宋_GB2312"/>
          <w:sz w:val="30"/>
          <w:szCs w:val="30"/>
        </w:rPr>
      </w:pPr>
      <w:r>
        <w:rPr>
          <w:rFonts w:hint="eastAsia" w:ascii="Times New Roman" w:hAnsi="Times New Roman" w:eastAsia="仿宋_GB2312"/>
          <w:sz w:val="30"/>
          <w:szCs w:val="30"/>
        </w:rPr>
        <w:t>实有车辆编制8辆，在编实有车辆8辆。</w:t>
      </w:r>
    </w:p>
    <w:p>
      <w:pPr>
        <w:pStyle w:val="8"/>
        <w:widowControl/>
        <w:spacing w:before="0" w:beforeLines="0" w:after="0" w:afterLines="0" w:line="590" w:lineRule="atLeast"/>
        <w:ind w:left="0" w:right="0"/>
        <w:jc w:val="center"/>
        <w:rPr>
          <w:rFonts w:ascii="黑体" w:hAnsi="黑体" w:eastAsia="黑体" w:cs="黑体"/>
          <w:color w:val="auto"/>
          <w:kern w:val="0"/>
          <w:sz w:val="32"/>
          <w:szCs w:val="32"/>
        </w:rPr>
      </w:pPr>
      <w:r>
        <w:rPr>
          <w:rFonts w:hint="eastAsia" w:ascii="黑体" w:hAnsi="黑体" w:eastAsia="黑体" w:cs="黑体"/>
          <w:color w:val="auto"/>
          <w:kern w:val="0"/>
          <w:sz w:val="32"/>
          <w:szCs w:val="32"/>
        </w:rPr>
        <w:t>第二部分  2019年度部门决算表</w:t>
      </w:r>
    </w:p>
    <w:p>
      <w:pPr>
        <w:pStyle w:val="8"/>
        <w:keepNext w:val="0"/>
        <w:keepLines w:val="0"/>
        <w:pageBreakBefore w:val="0"/>
        <w:widowControl/>
        <w:kinsoku/>
        <w:wordWrap/>
        <w:overflowPunct/>
        <w:topLinePunct w:val="0"/>
        <w:autoSpaceDE/>
        <w:autoSpaceDN/>
        <w:bidi w:val="0"/>
        <w:adjustRightInd/>
        <w:snapToGrid/>
        <w:spacing w:before="100" w:beforeLines="0" w:after="100" w:afterLines="0" w:line="600" w:lineRule="exact"/>
        <w:ind w:right="0" w:firstLine="600" w:firstLineChars="200"/>
        <w:jc w:val="center"/>
        <w:textAlignment w:val="auto"/>
        <w:rPr>
          <w:rFonts w:hint="eastAsia" w:ascii="仿宋_GB2312" w:eastAsia="仿宋_GB2312"/>
          <w:kern w:val="0"/>
          <w:sz w:val="30"/>
          <w:szCs w:val="30"/>
        </w:rPr>
      </w:pPr>
      <w:r>
        <w:rPr>
          <w:rFonts w:hint="eastAsia" w:ascii="仿宋_GB2312" w:eastAsia="仿宋_GB2312"/>
          <w:kern w:val="0"/>
          <w:sz w:val="30"/>
          <w:szCs w:val="30"/>
        </w:rPr>
        <w:t>（详见附件）</w:t>
      </w:r>
    </w:p>
    <w:p>
      <w:pPr>
        <w:pStyle w:val="8"/>
        <w:keepNext w:val="0"/>
        <w:keepLines w:val="0"/>
        <w:pageBreakBefore w:val="0"/>
        <w:widowControl/>
        <w:kinsoku/>
        <w:wordWrap/>
        <w:overflowPunct/>
        <w:topLinePunct w:val="0"/>
        <w:autoSpaceDE/>
        <w:autoSpaceDN/>
        <w:bidi w:val="0"/>
        <w:adjustRightInd/>
        <w:snapToGrid/>
        <w:spacing w:before="100" w:beforeLines="0" w:after="100" w:afterLines="0" w:line="600" w:lineRule="exact"/>
        <w:ind w:right="0" w:firstLine="600" w:firstLineChars="200"/>
        <w:jc w:val="left"/>
        <w:textAlignment w:val="auto"/>
        <w:rPr>
          <w:rFonts w:hint="eastAsia" w:ascii="仿宋_GB2312" w:eastAsia="仿宋_GB2312"/>
          <w:kern w:val="0"/>
          <w:sz w:val="30"/>
          <w:szCs w:val="30"/>
        </w:rPr>
      </w:pPr>
      <w:r>
        <w:rPr>
          <w:rFonts w:hint="eastAsia" w:ascii="仿宋_GB2312" w:eastAsia="仿宋_GB2312"/>
          <w:kern w:val="0"/>
          <w:sz w:val="30"/>
          <w:szCs w:val="30"/>
        </w:rPr>
        <w:t>说明：个旧市人民检察院2019年没有政府性基金收入，也没有使用政府性基金安排的支出，故《政府性基金预算财政拨款收入支出决算表》无数据。</w:t>
      </w:r>
    </w:p>
    <w:p>
      <w:pPr>
        <w:pStyle w:val="8"/>
        <w:widowControl/>
        <w:spacing w:before="0" w:beforeLines="0" w:after="0" w:afterLines="0" w:line="590" w:lineRule="atLeast"/>
        <w:ind w:left="0" w:right="0"/>
        <w:jc w:val="center"/>
        <w:rPr>
          <w:rFonts w:ascii="黑体" w:hAnsi="黑体" w:eastAsia="黑体" w:cs="黑体"/>
          <w:color w:val="auto"/>
          <w:kern w:val="0"/>
          <w:sz w:val="32"/>
          <w:szCs w:val="32"/>
        </w:rPr>
      </w:pPr>
      <w:r>
        <w:rPr>
          <w:rFonts w:hint="eastAsia" w:ascii="黑体" w:hAnsi="黑体" w:eastAsia="黑体" w:cs="黑体"/>
          <w:color w:val="auto"/>
          <w:kern w:val="0"/>
          <w:sz w:val="32"/>
          <w:szCs w:val="32"/>
        </w:rPr>
        <w:t>第三部分  2019年度部门决算情况说明</w:t>
      </w:r>
    </w:p>
    <w:p>
      <w:pPr>
        <w:pStyle w:val="8"/>
        <w:widowControl/>
        <w:spacing w:before="0" w:beforeLines="0" w:after="0" w:afterLines="0" w:line="590" w:lineRule="atLeast"/>
        <w:ind w:left="0" w:right="0" w:firstLine="600"/>
        <w:jc w:val="left"/>
        <w:rPr>
          <w:rFonts w:ascii="黑体" w:hAnsi="黑体" w:eastAsia="黑体" w:cs="黑体"/>
          <w:color w:val="auto"/>
          <w:kern w:val="0"/>
          <w:sz w:val="30"/>
          <w:szCs w:val="30"/>
        </w:rPr>
      </w:pPr>
      <w:r>
        <w:rPr>
          <w:rFonts w:hint="eastAsia" w:ascii="黑体" w:hAnsi="黑体" w:eastAsia="黑体" w:cs="黑体"/>
          <w:color w:val="auto"/>
          <w:kern w:val="0"/>
          <w:sz w:val="30"/>
          <w:szCs w:val="30"/>
        </w:rPr>
        <w:t>一、收入决算情况说明</w:t>
      </w:r>
    </w:p>
    <w:p>
      <w:pPr>
        <w:spacing w:line="560" w:lineRule="exact"/>
        <w:ind w:firstLine="582" w:firstLineChars="200"/>
        <w:rPr>
          <w:rFonts w:hint="eastAsia" w:ascii="仿宋_GB2312" w:hAnsi="仿宋_GB2312" w:eastAsia="仿宋_GB2312" w:cs="仿宋_GB2312"/>
          <w:color w:val="auto"/>
          <w:w w:val="97"/>
          <w:kern w:val="0"/>
          <w:sz w:val="30"/>
          <w:szCs w:val="30"/>
        </w:rPr>
      </w:pPr>
      <w:r>
        <w:rPr>
          <w:rFonts w:hint="eastAsia" w:ascii="仿宋_GB2312" w:hAnsi="仿宋_GB2312" w:eastAsia="仿宋_GB2312" w:cs="仿宋_GB2312"/>
          <w:color w:val="auto"/>
          <w:w w:val="97"/>
          <w:kern w:val="0"/>
          <w:sz w:val="30"/>
          <w:szCs w:val="30"/>
        </w:rPr>
        <w:t>个旧人民检察院2019年度收入合计2,359.63万元。其中：财政拨款收入2,355.20万元，占总收入的99.81%；上级补助收入0.00万元，占总收入的0.00%；事业收入0.00万元，占总收入的0.00%；经营收入0.00万元，占总收入的0.00%；附属单位缴款收入0.00万元，占总收入的0.00%；其他收入4.43万元，占总收入的0.19%。与上年对比，收入合计增加281.49万元，主要原因分析：补助“两房”建设资金收入348万元。</w:t>
      </w:r>
    </w:p>
    <w:p>
      <w:pPr>
        <w:pStyle w:val="8"/>
        <w:widowControl/>
        <w:spacing w:before="0" w:beforeLines="0" w:after="0" w:afterLines="0" w:line="590" w:lineRule="atLeast"/>
        <w:ind w:left="0" w:right="0" w:firstLine="600"/>
        <w:jc w:val="left"/>
        <w:rPr>
          <w:rFonts w:ascii="黑体" w:hAnsi="黑体" w:eastAsia="黑体" w:cs="黑体"/>
          <w:color w:val="auto"/>
          <w:kern w:val="0"/>
          <w:sz w:val="30"/>
          <w:szCs w:val="30"/>
        </w:rPr>
      </w:pPr>
      <w:r>
        <w:rPr>
          <w:rFonts w:hint="eastAsia" w:ascii="黑体" w:hAnsi="黑体" w:eastAsia="黑体" w:cs="黑体"/>
          <w:color w:val="auto"/>
          <w:kern w:val="0"/>
          <w:sz w:val="30"/>
          <w:szCs w:val="30"/>
        </w:rPr>
        <w:t>二、支出决算情况说明</w:t>
      </w:r>
    </w:p>
    <w:p>
      <w:pPr>
        <w:pStyle w:val="8"/>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right="0" w:firstLine="601"/>
        <w:textAlignment w:val="auto"/>
        <w:rPr>
          <w:rFonts w:hint="eastAsia" w:ascii="仿宋_GB2312" w:hAnsi="仿宋_GB2312" w:eastAsia="仿宋_GB2312" w:cs="仿宋_GB2312"/>
          <w:color w:val="auto"/>
          <w:w w:val="97"/>
          <w:kern w:val="0"/>
          <w:sz w:val="30"/>
          <w:szCs w:val="30"/>
        </w:rPr>
      </w:pPr>
      <w:r>
        <w:rPr>
          <w:rFonts w:hint="eastAsia" w:ascii="仿宋_GB2312" w:hAnsi="仿宋_GB2312" w:eastAsia="仿宋_GB2312" w:cs="仿宋_GB2312"/>
          <w:color w:val="auto"/>
          <w:w w:val="97"/>
          <w:kern w:val="0"/>
          <w:sz w:val="30"/>
          <w:szCs w:val="30"/>
        </w:rPr>
        <w:t>个旧市人民检察院2019年度支出合计2,465.47万元。其中：基本支出1,660.65万元，占总支出的67.36%；项目支出804.82万元，占总支出的32.64%；上缴上级支出、经营支出、对附属单位补助支出共0.00万元，占总支出的0.00%。与上年对比支出合计增加530.02万元。主要原因分析：一是正常人员增加工资以及绩效；二是2019年增加了“两房”建设资金348万元。</w:t>
      </w:r>
    </w:p>
    <w:p>
      <w:pPr>
        <w:pStyle w:val="8"/>
        <w:widowControl/>
        <w:spacing w:before="0" w:beforeLines="0" w:after="0" w:afterLines="0" w:line="590" w:lineRule="atLeast"/>
        <w:ind w:left="0" w:right="0" w:firstLine="600"/>
        <w:jc w:val="left"/>
        <w:rPr>
          <w:rFonts w:ascii="楷体" w:hAnsi="楷体" w:eastAsia="楷体" w:cs="楷体"/>
          <w:color w:val="auto"/>
          <w:kern w:val="0"/>
          <w:sz w:val="30"/>
          <w:szCs w:val="30"/>
        </w:rPr>
      </w:pPr>
      <w:r>
        <w:rPr>
          <w:rFonts w:hint="eastAsia" w:ascii="楷体" w:hAnsi="楷体" w:eastAsia="楷体" w:cs="楷体"/>
          <w:color w:val="auto"/>
          <w:kern w:val="0"/>
          <w:sz w:val="30"/>
          <w:szCs w:val="30"/>
        </w:rPr>
        <w:t>（一）基本支出情况</w:t>
      </w:r>
    </w:p>
    <w:p>
      <w:pPr>
        <w:spacing w:line="560" w:lineRule="exact"/>
        <w:ind w:firstLine="600"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2019年度用于保障个旧市人民检察院机关机构正常运转的日常支出1,660.65万元。与上年对比增加了79.91万元，主要原因分析是人员经费支出增加（正常调资）。</w:t>
      </w:r>
    </w:p>
    <w:p>
      <w:pPr>
        <w:spacing w:line="560" w:lineRule="exact"/>
        <w:ind w:firstLine="640" w:firstLineChars="200"/>
        <w:rPr>
          <w:rFonts w:hint="eastAsia" w:ascii="仿宋" w:hAnsi="仿宋" w:eastAsia="仿宋" w:cs="仿宋"/>
          <w:color w:val="auto"/>
          <w:kern w:val="0"/>
          <w:sz w:val="30"/>
          <w:szCs w:val="30"/>
          <w:lang w:val="en-US" w:eastAsia="zh-CN"/>
        </w:rPr>
      </w:pPr>
      <w:r>
        <w:rPr>
          <w:rFonts w:hint="eastAsia" w:ascii="Times New Roman" w:hAnsi="Times New Roman" w:eastAsia="仿宋_GB2312"/>
          <w:sz w:val="32"/>
          <w:szCs w:val="32"/>
        </w:rPr>
        <w:t xml:space="preserve"> </w:t>
      </w:r>
      <w:r>
        <w:rPr>
          <w:rFonts w:hint="eastAsia" w:ascii="仿宋" w:hAnsi="仿宋" w:eastAsia="仿宋" w:cs="仿宋"/>
          <w:color w:val="auto"/>
          <w:kern w:val="0"/>
          <w:sz w:val="30"/>
          <w:szCs w:val="30"/>
          <w:lang w:val="en-US" w:eastAsia="zh-CN"/>
        </w:rPr>
        <w:t>(二）项目支出情况</w:t>
      </w:r>
    </w:p>
    <w:p>
      <w:pPr>
        <w:spacing w:line="560" w:lineRule="exact"/>
        <w:ind w:firstLine="600" w:firstLineChars="200"/>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2019年度用于保障个旧人民检察院机构完成特定的行政工作任务或事业发展目标，用于专项业务工作的经费支出804.82万元。与上年对比增加了450.12万元，主要原因分析是2019年增加了“两房”建设资金。具体项目开支及开展工作情况为：一是依法打击刑事犯罪，积极推进平安个旧建设；二是强化法律监督，维护司法公正；三是不断加强自身建设，提高司法公信力；四是支付“两房”建设工程款。</w:t>
      </w:r>
    </w:p>
    <w:p>
      <w:pPr>
        <w:pStyle w:val="8"/>
        <w:widowControl/>
        <w:spacing w:before="0" w:beforeLines="0" w:after="0" w:afterLines="0" w:line="590" w:lineRule="atLeast"/>
        <w:ind w:left="0" w:right="0" w:firstLine="600"/>
        <w:jc w:val="left"/>
        <w:rPr>
          <w:rFonts w:ascii="黑体" w:hAnsi="黑体" w:eastAsia="黑体" w:cs="黑体"/>
          <w:color w:val="auto"/>
          <w:kern w:val="0"/>
          <w:sz w:val="30"/>
          <w:szCs w:val="30"/>
        </w:rPr>
      </w:pPr>
      <w:r>
        <w:rPr>
          <w:rFonts w:hint="eastAsia" w:ascii="黑体" w:hAnsi="黑体" w:eastAsia="黑体" w:cs="黑体"/>
          <w:color w:val="auto"/>
          <w:kern w:val="0"/>
          <w:sz w:val="30"/>
          <w:szCs w:val="30"/>
        </w:rPr>
        <w:t>三、一般公共预算财政拨款支出决算情况说明</w:t>
      </w:r>
    </w:p>
    <w:p>
      <w:pPr>
        <w:spacing w:line="560" w:lineRule="exact"/>
        <w:ind w:firstLine="600" w:firstLineChars="200"/>
        <w:rPr>
          <w:rFonts w:ascii="楷体" w:hAnsi="楷体" w:eastAsia="楷体" w:cs="楷体"/>
          <w:color w:val="auto"/>
          <w:kern w:val="0"/>
          <w:sz w:val="30"/>
          <w:szCs w:val="30"/>
        </w:rPr>
      </w:pPr>
      <w:r>
        <w:rPr>
          <w:rFonts w:hint="eastAsia" w:ascii="楷体" w:hAnsi="楷体" w:eastAsia="楷体" w:cs="楷体"/>
          <w:color w:val="auto"/>
          <w:kern w:val="0"/>
          <w:sz w:val="30"/>
          <w:szCs w:val="30"/>
        </w:rPr>
        <w:t>（一）一般公共预算财政拨款支出决算总体情况</w:t>
      </w:r>
    </w:p>
    <w:p>
      <w:pPr>
        <w:pStyle w:val="8"/>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right="0" w:firstLine="601"/>
        <w:jc w:val="left"/>
        <w:textAlignment w:val="auto"/>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个旧市人民检察院2019年度一般公共预算财政拨款支出2,447.08万元,占本年支出合计的99.25%。与上年对比增加了562.67万元，主要原因分析：一是正常的增加工资和绩效；二是2019年增加了“两房”建设资金。</w:t>
      </w:r>
    </w:p>
    <w:p>
      <w:pPr>
        <w:spacing w:line="560" w:lineRule="exact"/>
        <w:ind w:firstLine="600" w:firstLineChars="200"/>
        <w:rPr>
          <w:rFonts w:ascii="楷体" w:hAnsi="楷体" w:eastAsia="楷体" w:cs="楷体"/>
          <w:color w:val="auto"/>
          <w:kern w:val="0"/>
          <w:sz w:val="30"/>
          <w:szCs w:val="30"/>
        </w:rPr>
      </w:pPr>
      <w:r>
        <w:rPr>
          <w:rFonts w:hint="eastAsia" w:ascii="楷体" w:hAnsi="楷体" w:eastAsia="楷体" w:cs="楷体"/>
          <w:color w:val="auto"/>
          <w:kern w:val="0"/>
          <w:sz w:val="30"/>
          <w:szCs w:val="30"/>
        </w:rPr>
        <w:t>（二）一般公共预算财政拨款支出决算具体情况</w:t>
      </w:r>
    </w:p>
    <w:p>
      <w:pPr>
        <w:pStyle w:val="8"/>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right="0" w:firstLine="601"/>
        <w:jc w:val="left"/>
        <w:textAlignment w:val="auto"/>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1.公共安全（类）支出2,163.14万元，占一般公共预算财政拨款总支出的88.40%。主要用于个旧市检察各项工作支出，包括人员经费和开展检察业务经费。</w:t>
      </w:r>
    </w:p>
    <w:p>
      <w:pPr>
        <w:pStyle w:val="8"/>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right="0" w:firstLine="601"/>
        <w:jc w:val="left"/>
        <w:textAlignment w:val="auto"/>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2.社会保障和就业（类）支出96.75万元，占一般公共预算财政拨款总支出的3.95%。主要用于个旧市检察院基本养老保险和职业年金缴费支出。</w:t>
      </w:r>
    </w:p>
    <w:p>
      <w:pPr>
        <w:pStyle w:val="8"/>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right="0" w:firstLine="601"/>
        <w:jc w:val="left"/>
        <w:textAlignment w:val="auto"/>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3.卫生健康（类）支出100.78万元，占一般公共预算财政拨款总支出的4.12%。主要用于个旧市检察院基本医疗保障缴费、公务员医疗补助经费、其他基本医疗保险基金支出。</w:t>
      </w:r>
    </w:p>
    <w:p>
      <w:pPr>
        <w:pStyle w:val="8"/>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right="0" w:firstLine="601"/>
        <w:jc w:val="left"/>
        <w:textAlignment w:val="auto"/>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4.住房保障（类）支出86.41万元，占一般公共预算财政拨款总支出的3.53%。主要用于个旧市检察院住房公积金缴存支出。</w:t>
      </w:r>
    </w:p>
    <w:p>
      <w:pPr>
        <w:pStyle w:val="8"/>
        <w:widowControl/>
        <w:spacing w:before="0" w:beforeLines="0" w:after="0" w:afterLines="0" w:line="590" w:lineRule="atLeast"/>
        <w:ind w:left="0" w:right="0" w:firstLine="600"/>
        <w:jc w:val="left"/>
        <w:rPr>
          <w:rFonts w:ascii="黑体" w:hAnsi="黑体" w:eastAsia="黑体" w:cs="黑体"/>
          <w:color w:val="auto"/>
          <w:kern w:val="0"/>
          <w:sz w:val="30"/>
          <w:szCs w:val="30"/>
        </w:rPr>
      </w:pPr>
      <w:r>
        <w:rPr>
          <w:rFonts w:hint="eastAsia" w:ascii="黑体" w:hAnsi="黑体" w:eastAsia="黑体" w:cs="黑体"/>
          <w:color w:val="auto"/>
          <w:kern w:val="0"/>
          <w:sz w:val="30"/>
          <w:szCs w:val="30"/>
        </w:rPr>
        <w:t>四、一般公共预算财政拨款“三公”经费支出决算情况说明</w:t>
      </w:r>
    </w:p>
    <w:p>
      <w:pPr>
        <w:pStyle w:val="8"/>
        <w:widowControl/>
        <w:spacing w:before="0" w:beforeLines="0" w:after="0" w:afterLines="0" w:line="590" w:lineRule="atLeast"/>
        <w:ind w:left="0" w:right="0" w:firstLine="600"/>
        <w:jc w:val="left"/>
        <w:rPr>
          <w:rFonts w:ascii="楷体" w:hAnsi="楷体" w:eastAsia="楷体" w:cs="楷体"/>
          <w:color w:val="auto"/>
          <w:kern w:val="0"/>
          <w:sz w:val="30"/>
          <w:szCs w:val="30"/>
        </w:rPr>
      </w:pPr>
      <w:r>
        <w:rPr>
          <w:rFonts w:hint="eastAsia" w:ascii="楷体" w:hAnsi="楷体" w:eastAsia="楷体" w:cs="楷体"/>
          <w:color w:val="auto"/>
          <w:kern w:val="0"/>
          <w:sz w:val="30"/>
          <w:szCs w:val="30"/>
        </w:rPr>
        <w:t>(一)一般公共预算财政拨款“三公”经费支出决算总体情况</w:t>
      </w:r>
    </w:p>
    <w:p>
      <w:pPr>
        <w:pStyle w:val="8"/>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right="0" w:firstLine="601"/>
        <w:textAlignment w:val="auto"/>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个旧人民检察院2019年度一般公共预算财政拨款“三公”经费支出预算为28.8万元，支出决算为22.04万元，完成预算的56%。其中：因公出国（境）费支出决算为0.00万元；公务用车购置及运行费支出决算为276.53万元，完成预算的73.54%；公务接待费支出决算为26.95万元，完成预算的16.24%。2019年度一般公共预算财政拨款“三公”经费支出决算数小于预算数的主要原因：一是在做部门预算时主要参照以前年度三公经费支出情况和下一年度工作计划进行“三公”经费预算，存在预算不够准确的情况；二是在预算执行过程中按照厉行节约的要求，严格执行“三公”经费支出的相关要求，加强单位内控制度建设和执行。</w:t>
      </w:r>
    </w:p>
    <w:p>
      <w:pPr>
        <w:pStyle w:val="8"/>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right="0" w:firstLine="601"/>
        <w:textAlignment w:val="auto"/>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2019年度一般公共预算财政拨款“三公”经费支出决算数比2018年减少1.67万元，下降7.05%。其中：因公出国（境）费支出决算减少0.00万元；公务用车购置及运行费支出决算减少1.12万元，下降4.84%；公务接待费支出决算增减少0.55万元，下降100%。2019年度一般公共预算财政拨款“三公”经费支出决算减少的主要原因是我院继续贯彻落实中央八项规定、《党政机关厉行节约反对浪费条例》、《党政机关国内公务接待管理规定》等文件精神，依法规范支出管理，全面压缩“三公”经费，努力降低公务活动成本以及车辆运行费用。</w:t>
      </w:r>
    </w:p>
    <w:p>
      <w:pPr>
        <w:pStyle w:val="8"/>
        <w:widowControl/>
        <w:spacing w:before="0" w:beforeLines="0" w:after="0" w:afterLines="0" w:line="590" w:lineRule="atLeast"/>
        <w:ind w:left="0" w:right="0" w:firstLine="600"/>
        <w:rPr>
          <w:rFonts w:ascii="楷体" w:hAnsi="楷体" w:eastAsia="楷体" w:cs="楷体"/>
          <w:color w:val="auto"/>
          <w:kern w:val="0"/>
          <w:sz w:val="30"/>
          <w:szCs w:val="30"/>
        </w:rPr>
      </w:pPr>
      <w:r>
        <w:rPr>
          <w:rFonts w:hint="eastAsia" w:ascii="楷体" w:hAnsi="楷体" w:eastAsia="楷体" w:cs="楷体"/>
          <w:color w:val="auto"/>
          <w:kern w:val="0"/>
          <w:sz w:val="30"/>
          <w:szCs w:val="30"/>
        </w:rPr>
        <w:t>(二)一般公共预算财政拨款“三公”经费支出决算具体情况</w:t>
      </w:r>
    </w:p>
    <w:p>
      <w:pPr>
        <w:pStyle w:val="8"/>
        <w:widowControl/>
        <w:spacing w:before="0" w:beforeLines="0" w:after="0" w:afterLines="0" w:line="590" w:lineRule="atLeast"/>
        <w:ind w:left="0" w:right="0" w:firstLine="600"/>
        <w:jc w:val="left"/>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2019年度一般公共预算财政拨款“三公”经费支出决算中，因公出国（境）费支出0.00万元；公务用车购置及运行维护费支出22.04万元，占100%；公务接待费支出0万元。具体情况如下：</w:t>
      </w:r>
    </w:p>
    <w:p>
      <w:pPr>
        <w:spacing w:line="560" w:lineRule="exact"/>
        <w:ind w:firstLine="602" w:firstLineChars="200"/>
        <w:rPr>
          <w:rFonts w:ascii="Times New Roman" w:hAnsi="Times New Roman" w:eastAsia="仿宋_GB2312"/>
          <w:sz w:val="32"/>
          <w:szCs w:val="32"/>
        </w:rPr>
      </w:pPr>
      <w:r>
        <w:rPr>
          <w:rFonts w:hint="eastAsia" w:ascii="仿宋_GB2312" w:hAnsi="仿宋_GB2312" w:eastAsia="仿宋_GB2312" w:cs="仿宋_GB2312"/>
          <w:b/>
          <w:bCs/>
          <w:color w:val="auto"/>
          <w:kern w:val="0"/>
          <w:sz w:val="30"/>
          <w:szCs w:val="30"/>
        </w:rPr>
        <w:t>1.因公出国（境）费</w:t>
      </w:r>
      <w:r>
        <w:rPr>
          <w:rFonts w:hint="eastAsia" w:ascii="仿宋_GB2312" w:hAnsi="仿宋_GB2312" w:eastAsia="仿宋_GB2312" w:cs="仿宋_GB2312"/>
          <w:color w:val="auto"/>
          <w:kern w:val="0"/>
          <w:sz w:val="30"/>
          <w:szCs w:val="30"/>
        </w:rPr>
        <w:t>支出0.00万元，共安排因公出国（境）团组0个，累计0人次。</w:t>
      </w:r>
    </w:p>
    <w:p>
      <w:pPr>
        <w:spacing w:line="560" w:lineRule="exact"/>
        <w:ind w:firstLine="602" w:firstLineChars="200"/>
        <w:rPr>
          <w:rFonts w:ascii="Times New Roman" w:hAnsi="Times New Roman" w:eastAsia="仿宋_GB2312"/>
          <w:sz w:val="32"/>
          <w:szCs w:val="32"/>
        </w:rPr>
      </w:pPr>
      <w:r>
        <w:rPr>
          <w:rFonts w:hint="eastAsia" w:ascii="仿宋_GB2312" w:hAnsi="仿宋_GB2312" w:eastAsia="仿宋_GB2312" w:cs="仿宋_GB2312"/>
          <w:b/>
          <w:bCs/>
          <w:color w:val="auto"/>
          <w:kern w:val="0"/>
          <w:sz w:val="30"/>
          <w:szCs w:val="30"/>
        </w:rPr>
        <w:t>2.公务用车购置及运行维护费</w:t>
      </w:r>
      <w:r>
        <w:rPr>
          <w:rFonts w:hint="eastAsia" w:ascii="仿宋_GB2312" w:hAnsi="仿宋_GB2312" w:eastAsia="仿宋_GB2312" w:cs="仿宋_GB2312"/>
          <w:color w:val="auto"/>
          <w:kern w:val="0"/>
          <w:sz w:val="30"/>
          <w:szCs w:val="30"/>
        </w:rPr>
        <w:t>支出22.04万元。其中：</w:t>
      </w:r>
    </w:p>
    <w:p>
      <w:pPr>
        <w:spacing w:line="560" w:lineRule="exact"/>
        <w:ind w:firstLine="602"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b/>
          <w:bCs/>
          <w:color w:val="auto"/>
          <w:kern w:val="0"/>
          <w:sz w:val="30"/>
          <w:szCs w:val="30"/>
        </w:rPr>
        <w:t>公务用车购置</w:t>
      </w:r>
      <w:r>
        <w:rPr>
          <w:rFonts w:hint="eastAsia" w:ascii="仿宋_GB2312" w:hAnsi="仿宋_GB2312" w:eastAsia="仿宋_GB2312" w:cs="仿宋_GB2312"/>
          <w:color w:val="auto"/>
          <w:kern w:val="0"/>
          <w:sz w:val="30"/>
          <w:szCs w:val="30"/>
        </w:rPr>
        <w:t>支出0万元。公务用车运行维护支出22.04万元，开支财政拨款的公务用车保有量为8辆。主要用于司法办案工作中所需车辆燃料费、维修费、过路过桥费、保险费等。</w:t>
      </w:r>
    </w:p>
    <w:p>
      <w:pPr>
        <w:spacing w:line="560" w:lineRule="exact"/>
        <w:ind w:firstLine="602" w:firstLineChars="200"/>
        <w:rPr>
          <w:rFonts w:ascii="Times New Roman" w:hAnsi="Times New Roman" w:eastAsia="仿宋_GB2312"/>
          <w:sz w:val="32"/>
          <w:szCs w:val="32"/>
        </w:rPr>
      </w:pPr>
      <w:r>
        <w:rPr>
          <w:rFonts w:hint="eastAsia" w:ascii="仿宋_GB2312" w:hAnsi="仿宋_GB2312" w:eastAsia="仿宋_GB2312" w:cs="仿宋_GB2312"/>
          <w:b/>
          <w:bCs/>
          <w:color w:val="auto"/>
          <w:kern w:val="0"/>
          <w:sz w:val="30"/>
          <w:szCs w:val="30"/>
        </w:rPr>
        <w:t>3.公务接待费</w:t>
      </w:r>
      <w:r>
        <w:rPr>
          <w:rFonts w:hint="eastAsia" w:ascii="仿宋_GB2312" w:hAnsi="仿宋_GB2312" w:eastAsia="仿宋_GB2312" w:cs="仿宋_GB2312"/>
          <w:color w:val="auto"/>
          <w:kern w:val="0"/>
          <w:sz w:val="30"/>
          <w:szCs w:val="30"/>
        </w:rPr>
        <w:t>支出0万元。其中：</w:t>
      </w:r>
    </w:p>
    <w:p>
      <w:pPr>
        <w:spacing w:line="560" w:lineRule="exact"/>
        <w:ind w:firstLine="602" w:firstLineChars="200"/>
        <w:rPr>
          <w:rFonts w:ascii="Times New Roman" w:hAnsi="Times New Roman" w:eastAsia="仿宋_GB2312"/>
          <w:sz w:val="32"/>
          <w:szCs w:val="32"/>
        </w:rPr>
      </w:pPr>
      <w:r>
        <w:rPr>
          <w:rFonts w:hint="eastAsia" w:ascii="仿宋_GB2312" w:hAnsi="仿宋_GB2312" w:eastAsia="仿宋_GB2312" w:cs="仿宋_GB2312"/>
          <w:b/>
          <w:bCs/>
          <w:color w:val="auto"/>
          <w:kern w:val="0"/>
          <w:sz w:val="30"/>
          <w:szCs w:val="30"/>
        </w:rPr>
        <w:t>国内接待费</w:t>
      </w:r>
      <w:r>
        <w:rPr>
          <w:rFonts w:hint="eastAsia" w:ascii="仿宋_GB2312" w:hAnsi="仿宋_GB2312" w:eastAsia="仿宋_GB2312" w:cs="仿宋_GB2312"/>
          <w:color w:val="auto"/>
          <w:kern w:val="0"/>
          <w:sz w:val="30"/>
          <w:szCs w:val="30"/>
        </w:rPr>
        <w:t>支出0万元</w:t>
      </w:r>
      <w:r>
        <w:rPr>
          <w:rFonts w:hint="eastAsia" w:ascii="Times New Roman" w:hAnsi="Times New Roman" w:eastAsia="仿宋_GB2312"/>
          <w:sz w:val="32"/>
          <w:szCs w:val="32"/>
        </w:rPr>
        <w:t>。</w:t>
      </w:r>
    </w:p>
    <w:p>
      <w:pPr>
        <w:spacing w:line="560" w:lineRule="exact"/>
        <w:ind w:firstLine="602"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b/>
          <w:bCs/>
          <w:color w:val="auto"/>
          <w:kern w:val="0"/>
          <w:sz w:val="30"/>
          <w:szCs w:val="30"/>
        </w:rPr>
        <w:t>国（境）外接待费</w:t>
      </w:r>
      <w:r>
        <w:rPr>
          <w:rFonts w:hint="eastAsia" w:ascii="仿宋_GB2312" w:hAnsi="仿宋_GB2312" w:eastAsia="仿宋_GB2312" w:cs="仿宋_GB2312"/>
          <w:color w:val="auto"/>
          <w:kern w:val="0"/>
          <w:sz w:val="30"/>
          <w:szCs w:val="30"/>
        </w:rPr>
        <w:t>支出0万元，共安排国（境）外公务接待0批次，接待人次0人。</w:t>
      </w:r>
    </w:p>
    <w:p>
      <w:pPr>
        <w:pStyle w:val="8"/>
        <w:widowControl/>
        <w:spacing w:before="0" w:beforeLines="0" w:after="0" w:afterLines="0" w:line="590" w:lineRule="atLeast"/>
        <w:ind w:left="0" w:right="0" w:firstLine="640"/>
        <w:jc w:val="center"/>
        <w:rPr>
          <w:rFonts w:ascii="黑体" w:hAnsi="黑体" w:eastAsia="黑体" w:cs="黑体"/>
          <w:color w:val="auto"/>
          <w:kern w:val="0"/>
          <w:sz w:val="32"/>
          <w:szCs w:val="32"/>
        </w:rPr>
      </w:pPr>
      <w:r>
        <w:rPr>
          <w:rFonts w:hint="eastAsia" w:ascii="黑体" w:hAnsi="黑体" w:eastAsia="黑体" w:cs="黑体"/>
          <w:color w:val="auto"/>
          <w:kern w:val="0"/>
          <w:sz w:val="32"/>
          <w:szCs w:val="32"/>
        </w:rPr>
        <w:t>第四部分  其他重要事项及相关口径情况说明</w:t>
      </w:r>
    </w:p>
    <w:p>
      <w:pPr>
        <w:pStyle w:val="8"/>
        <w:widowControl/>
        <w:spacing w:before="0" w:beforeLines="0" w:after="0" w:afterLines="0" w:line="590" w:lineRule="atLeast"/>
        <w:ind w:left="0" w:right="0" w:firstLine="640"/>
        <w:jc w:val="both"/>
        <w:rPr>
          <w:rFonts w:ascii="黑体" w:hAnsi="黑体" w:eastAsia="黑体" w:cs="黑体"/>
          <w:color w:val="auto"/>
          <w:kern w:val="0"/>
          <w:sz w:val="32"/>
          <w:szCs w:val="32"/>
        </w:rPr>
      </w:pPr>
      <w:r>
        <w:rPr>
          <w:rFonts w:hint="eastAsia" w:ascii="黑体" w:hAnsi="黑体" w:eastAsia="黑体" w:cs="黑体"/>
          <w:color w:val="auto"/>
          <w:kern w:val="0"/>
          <w:sz w:val="32"/>
          <w:szCs w:val="32"/>
        </w:rPr>
        <w:t>一、机关运行经费支出情况</w:t>
      </w:r>
    </w:p>
    <w:p>
      <w:pPr>
        <w:pStyle w:val="8"/>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right="0" w:firstLine="601"/>
        <w:textAlignment w:val="auto"/>
        <w:rPr>
          <w:rFonts w:hint="eastAsia" w:ascii="仿宋_GB2312" w:hAnsi="仿宋_GB2312" w:eastAsia="仿宋_GB2312" w:cs="仿宋_GB2312"/>
          <w:color w:val="auto"/>
          <w:w w:val="97"/>
          <w:kern w:val="0"/>
          <w:sz w:val="30"/>
          <w:szCs w:val="30"/>
        </w:rPr>
      </w:pPr>
      <w:r>
        <w:rPr>
          <w:rFonts w:hint="eastAsia" w:ascii="仿宋_GB2312" w:hAnsi="仿宋_GB2312" w:eastAsia="仿宋_GB2312" w:cs="仿宋_GB2312"/>
          <w:color w:val="auto"/>
          <w:w w:val="97"/>
          <w:kern w:val="0"/>
          <w:sz w:val="30"/>
          <w:szCs w:val="30"/>
        </w:rPr>
        <w:t>个旧市人民检察院2019年机关运行经费支出142.13万元，与上年对比下降了18.97%，主要原因分析：加强了资金支出的预算和审批，确实将厉行节约体现在工作中。部门机关运行经费主要用于日常办公办案用品购买支出、检查工作宣传等产生的印刷费、水电费、物业管理费、车辆运行维护费、维修维护费及车补发放等。</w:t>
      </w:r>
    </w:p>
    <w:p>
      <w:pPr>
        <w:pStyle w:val="8"/>
        <w:widowControl/>
        <w:spacing w:before="0" w:beforeLines="0" w:after="0" w:afterLines="0" w:line="590" w:lineRule="atLeast"/>
        <w:ind w:left="0" w:right="0" w:firstLine="600"/>
        <w:jc w:val="left"/>
        <w:rPr>
          <w:rFonts w:ascii="黑体" w:hAnsi="黑体" w:eastAsia="黑体" w:cs="黑体"/>
          <w:color w:val="auto"/>
          <w:kern w:val="0"/>
          <w:sz w:val="30"/>
          <w:szCs w:val="30"/>
        </w:rPr>
      </w:pPr>
      <w:r>
        <w:rPr>
          <w:rFonts w:hint="eastAsia" w:ascii="黑体" w:hAnsi="黑体" w:eastAsia="黑体" w:cs="黑体"/>
          <w:color w:val="auto"/>
          <w:kern w:val="0"/>
          <w:sz w:val="30"/>
          <w:szCs w:val="30"/>
        </w:rPr>
        <w:t>二、国有资产占用情况</w:t>
      </w:r>
    </w:p>
    <w:p>
      <w:pPr>
        <w:spacing w:line="560" w:lineRule="exact"/>
        <w:ind w:firstLine="600"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截至2019年12月31日，个旧市人民检察院资产总额3,168.64万元，其中，流动资产77.15万元，固定资产1,654.84万元，对外投资及有价证券0.00万元，在建工程1,436.65万元，无形资产0万元，其他资产0.00万元（具体内容详见附表）。与上年相比，本年资产总额增加1,465.96万元，其中;流动资产减少75.83万元，固定资产增加105.14万元,对外投资及有价证券0.00万元，在建工程增加1,436.65万元，无形资产0万元，其他资产0.00万元。</w:t>
      </w:r>
    </w:p>
    <w:p>
      <w:pPr>
        <w:spacing w:line="560" w:lineRule="exact"/>
        <w:ind w:firstLine="600" w:firstLineChars="200"/>
        <w:rPr>
          <w:rFonts w:hint="eastAsia" w:ascii="仿宋_GB2312" w:hAnsi="仿宋_GB2312" w:eastAsia="仿宋_GB2312" w:cs="仿宋_GB2312"/>
          <w:color w:val="auto"/>
          <w:kern w:val="0"/>
          <w:sz w:val="30"/>
          <w:szCs w:val="30"/>
        </w:rPr>
      </w:pPr>
    </w:p>
    <w:p>
      <w:pPr>
        <w:spacing w:line="560" w:lineRule="exact"/>
        <w:ind w:firstLine="600" w:firstLineChars="200"/>
        <w:rPr>
          <w:rFonts w:hint="eastAsia" w:ascii="仿宋_GB2312" w:hAnsi="仿宋_GB2312" w:eastAsia="仿宋_GB2312" w:cs="仿宋_GB2312"/>
          <w:color w:val="auto"/>
          <w:kern w:val="0"/>
          <w:sz w:val="30"/>
          <w:szCs w:val="30"/>
        </w:rPr>
      </w:pPr>
    </w:p>
    <w:tbl>
      <w:tblPr>
        <w:tblStyle w:val="4"/>
        <w:tblW w:w="8681" w:type="dxa"/>
        <w:tblInd w:w="113" w:type="dxa"/>
        <w:tblLayout w:type="fixed"/>
        <w:tblCellMar>
          <w:top w:w="15" w:type="dxa"/>
          <w:left w:w="15" w:type="dxa"/>
          <w:bottom w:w="15" w:type="dxa"/>
          <w:right w:w="15" w:type="dxa"/>
        </w:tblCellMar>
      </w:tblPr>
      <w:tblGrid>
        <w:gridCol w:w="309"/>
        <w:gridCol w:w="302"/>
        <w:gridCol w:w="902"/>
        <w:gridCol w:w="839"/>
        <w:gridCol w:w="990"/>
        <w:gridCol w:w="975"/>
        <w:gridCol w:w="930"/>
        <w:gridCol w:w="435"/>
        <w:gridCol w:w="810"/>
        <w:gridCol w:w="345"/>
        <w:gridCol w:w="855"/>
        <w:gridCol w:w="705"/>
        <w:gridCol w:w="284"/>
      </w:tblGrid>
      <w:tr>
        <w:tblPrEx>
          <w:tblLayout w:type="fixed"/>
          <w:tblCellMar>
            <w:top w:w="15" w:type="dxa"/>
            <w:left w:w="15" w:type="dxa"/>
            <w:bottom w:w="15" w:type="dxa"/>
            <w:right w:w="15" w:type="dxa"/>
          </w:tblCellMar>
        </w:tblPrEx>
        <w:trPr>
          <w:trHeight w:val="390" w:hRule="atLeast"/>
        </w:trPr>
        <w:tc>
          <w:tcPr>
            <w:tcW w:w="8681" w:type="dxa"/>
            <w:gridSpan w:val="13"/>
            <w:shd w:val="clear" w:color="auto" w:fill="FFFFFF"/>
            <w:tcMar>
              <w:top w:w="20" w:type="dxa"/>
              <w:left w:w="20" w:type="dxa"/>
              <w:bottom w:w="20" w:type="dxa"/>
              <w:right w:w="20" w:type="dxa"/>
            </w:tcMar>
            <w:vAlign w:val="center"/>
          </w:tcPr>
          <w:p>
            <w:pPr>
              <w:pStyle w:val="8"/>
              <w:spacing w:before="100" w:after="100"/>
              <w:jc w:val="center"/>
            </w:pPr>
            <w:r>
              <w:rPr>
                <w:rFonts w:ascii="仿宋_GB2312" w:hAnsi="仿宋_GB2312" w:eastAsia="仿宋_GB2312" w:cs="仿宋_GB2312"/>
                <w:b/>
                <w:bCs/>
                <w:sz w:val="30"/>
                <w:szCs w:val="30"/>
              </w:rPr>
              <w:t>国有资产占有使用情况表</w:t>
            </w:r>
          </w:p>
        </w:tc>
      </w:tr>
      <w:tr>
        <w:tblPrEx>
          <w:tblLayout w:type="fixed"/>
          <w:tblCellMar>
            <w:top w:w="15" w:type="dxa"/>
            <w:left w:w="15" w:type="dxa"/>
            <w:bottom w:w="15" w:type="dxa"/>
            <w:right w:w="15" w:type="dxa"/>
          </w:tblCellMar>
        </w:tblPrEx>
        <w:trPr>
          <w:trHeight w:val="270" w:hRule="atLeast"/>
        </w:trPr>
        <w:tc>
          <w:tcPr>
            <w:tcW w:w="5682" w:type="dxa"/>
            <w:gridSpan w:val="8"/>
            <w:tcBorders>
              <w:bottom w:val="single" w:color="000000" w:sz="4" w:space="0"/>
            </w:tcBorders>
            <w:shd w:val="clear" w:color="auto" w:fill="FFFFFF"/>
            <w:tcMar>
              <w:top w:w="20" w:type="dxa"/>
              <w:left w:w="20" w:type="dxa"/>
              <w:bottom w:w="20" w:type="dxa"/>
              <w:right w:w="20" w:type="dxa"/>
            </w:tcMar>
            <w:vAlign w:val="center"/>
          </w:tcPr>
          <w:p>
            <w:pPr>
              <w:pStyle w:val="8"/>
              <w:spacing w:before="100" w:after="100"/>
              <w:jc w:val="left"/>
            </w:pPr>
            <w:r>
              <w:rPr>
                <w:rFonts w:ascii="宋体" w:hAnsi="宋体" w:eastAsia="宋体" w:cs="宋体"/>
                <w:sz w:val="20"/>
                <w:szCs w:val="20"/>
              </w:rPr>
              <w:t> </w:t>
            </w:r>
          </w:p>
        </w:tc>
        <w:tc>
          <w:tcPr>
            <w:tcW w:w="810" w:type="dxa"/>
            <w:tcBorders>
              <w:bottom w:val="single" w:color="000000" w:sz="4" w:space="0"/>
            </w:tcBorders>
            <w:shd w:val="clear" w:color="auto" w:fill="FFFFFF"/>
            <w:tcMar>
              <w:top w:w="20" w:type="dxa"/>
              <w:left w:w="20" w:type="dxa"/>
              <w:bottom w:w="20" w:type="dxa"/>
              <w:right w:w="20" w:type="dxa"/>
            </w:tcMar>
            <w:vAlign w:val="center"/>
          </w:tcPr>
          <w:p>
            <w:pPr>
              <w:pStyle w:val="8"/>
              <w:spacing w:before="100" w:after="100"/>
              <w:jc w:val="left"/>
            </w:pPr>
            <w:r>
              <w:rPr>
                <w:rFonts w:ascii="宋体" w:hAnsi="宋体" w:eastAsia="宋体" w:cs="宋体"/>
                <w:sz w:val="20"/>
                <w:szCs w:val="20"/>
              </w:rPr>
              <w:t> </w:t>
            </w:r>
          </w:p>
        </w:tc>
        <w:tc>
          <w:tcPr>
            <w:tcW w:w="2189" w:type="dxa"/>
            <w:gridSpan w:val="4"/>
            <w:tcBorders>
              <w:bottom w:val="single" w:color="000000" w:sz="4" w:space="0"/>
            </w:tcBorders>
            <w:shd w:val="clear" w:color="auto" w:fill="FFFFFF"/>
            <w:tcMar>
              <w:top w:w="20" w:type="dxa"/>
              <w:left w:w="20" w:type="dxa"/>
              <w:bottom w:w="20" w:type="dxa"/>
              <w:right w:w="20" w:type="dxa"/>
            </w:tcMar>
            <w:vAlign w:val="center"/>
          </w:tcPr>
          <w:p>
            <w:pPr>
              <w:pStyle w:val="8"/>
              <w:spacing w:before="100" w:after="100"/>
              <w:jc w:val="right"/>
            </w:pPr>
            <w:r>
              <w:rPr>
                <w:rFonts w:ascii="宋体" w:hAnsi="宋体" w:eastAsia="宋体" w:cs="宋体"/>
                <w:sz w:val="20"/>
                <w:szCs w:val="20"/>
              </w:rPr>
              <w:t>单位：万元</w:t>
            </w:r>
          </w:p>
        </w:tc>
      </w:tr>
      <w:tr>
        <w:tblPrEx>
          <w:tblLayout w:type="fixed"/>
          <w:tblCellMar>
            <w:top w:w="15" w:type="dxa"/>
            <w:left w:w="15" w:type="dxa"/>
            <w:bottom w:w="15" w:type="dxa"/>
            <w:right w:w="15" w:type="dxa"/>
          </w:tblCellMar>
        </w:tblPrEx>
        <w:trPr>
          <w:trHeight w:val="270" w:hRule="atLeast"/>
        </w:trPr>
        <w:tc>
          <w:tcPr>
            <w:tcW w:w="309" w:type="dxa"/>
            <w:vMerge w:val="restart"/>
            <w:tcBorders>
              <w:left w:val="single" w:color="000000" w:sz="4" w:space="0"/>
              <w:bottom w:val="single" w:color="000000" w:sz="4" w:space="0"/>
              <w:right w:val="single" w:color="000000" w:sz="4" w:space="0"/>
            </w:tcBorders>
            <w:tcMar>
              <w:top w:w="20" w:type="dxa"/>
              <w:left w:w="20" w:type="dxa"/>
              <w:bottom w:w="20" w:type="dxa"/>
              <w:right w:w="20" w:type="dxa"/>
            </w:tcMar>
            <w:vAlign w:val="center"/>
          </w:tcPr>
          <w:p>
            <w:pPr>
              <w:pStyle w:val="8"/>
              <w:spacing w:before="100" w:after="100"/>
              <w:jc w:val="center"/>
            </w:pPr>
            <w:r>
              <w:rPr>
                <w:rFonts w:ascii="宋体" w:hAnsi="宋体" w:eastAsia="宋体" w:cs="宋体"/>
                <w:sz w:val="20"/>
                <w:szCs w:val="20"/>
              </w:rPr>
              <w:t>项目</w:t>
            </w:r>
          </w:p>
        </w:tc>
        <w:tc>
          <w:tcPr>
            <w:tcW w:w="302" w:type="dxa"/>
            <w:vMerge w:val="restart"/>
            <w:tcBorders>
              <w:bottom w:val="single" w:color="000000" w:sz="4" w:space="0"/>
              <w:right w:val="single" w:color="000000" w:sz="4" w:space="0"/>
            </w:tcBorders>
            <w:tcMar>
              <w:top w:w="20" w:type="dxa"/>
              <w:left w:w="20" w:type="dxa"/>
              <w:bottom w:w="20" w:type="dxa"/>
              <w:right w:w="20" w:type="dxa"/>
            </w:tcMar>
            <w:vAlign w:val="center"/>
          </w:tcPr>
          <w:p>
            <w:pPr>
              <w:pStyle w:val="8"/>
              <w:spacing w:before="100" w:after="100"/>
              <w:jc w:val="center"/>
            </w:pPr>
            <w:r>
              <w:rPr>
                <w:rFonts w:ascii="宋体" w:hAnsi="宋体" w:eastAsia="宋体" w:cs="宋体"/>
                <w:sz w:val="20"/>
                <w:szCs w:val="20"/>
              </w:rPr>
              <w:t>行次</w:t>
            </w:r>
          </w:p>
        </w:tc>
        <w:tc>
          <w:tcPr>
            <w:tcW w:w="902" w:type="dxa"/>
            <w:vMerge w:val="restart"/>
            <w:tcBorders>
              <w:bottom w:val="single" w:color="000000" w:sz="4" w:space="0"/>
              <w:right w:val="single" w:color="000000" w:sz="4" w:space="0"/>
            </w:tcBorders>
            <w:tcMar>
              <w:top w:w="20" w:type="dxa"/>
              <w:left w:w="20" w:type="dxa"/>
              <w:bottom w:w="20" w:type="dxa"/>
              <w:right w:w="20" w:type="dxa"/>
            </w:tcMar>
            <w:vAlign w:val="center"/>
          </w:tcPr>
          <w:p>
            <w:pPr>
              <w:pStyle w:val="8"/>
              <w:spacing w:before="100" w:after="100"/>
              <w:jc w:val="center"/>
            </w:pPr>
            <w:r>
              <w:rPr>
                <w:rFonts w:ascii="宋体" w:hAnsi="宋体" w:eastAsia="宋体" w:cs="宋体"/>
                <w:sz w:val="20"/>
                <w:szCs w:val="20"/>
              </w:rPr>
              <w:t>资产总额</w:t>
            </w:r>
          </w:p>
        </w:tc>
        <w:tc>
          <w:tcPr>
            <w:tcW w:w="839" w:type="dxa"/>
            <w:vMerge w:val="restart"/>
            <w:tcBorders>
              <w:top w:val="single" w:color="000000" w:sz="4" w:space="0"/>
              <w:bottom w:val="single" w:color="000000" w:sz="4" w:space="0"/>
              <w:right w:val="single" w:color="000000" w:sz="4" w:space="0"/>
            </w:tcBorders>
            <w:tcMar>
              <w:top w:w="20" w:type="dxa"/>
              <w:left w:w="20" w:type="dxa"/>
              <w:bottom w:w="20" w:type="dxa"/>
              <w:right w:w="20" w:type="dxa"/>
            </w:tcMar>
            <w:vAlign w:val="center"/>
          </w:tcPr>
          <w:p>
            <w:pPr>
              <w:pStyle w:val="8"/>
              <w:spacing w:before="100" w:after="100"/>
              <w:jc w:val="center"/>
            </w:pPr>
            <w:r>
              <w:rPr>
                <w:rFonts w:ascii="宋体" w:hAnsi="宋体" w:eastAsia="宋体" w:cs="宋体"/>
                <w:sz w:val="20"/>
                <w:szCs w:val="20"/>
              </w:rPr>
              <w:t>流动资产</w:t>
            </w:r>
          </w:p>
        </w:tc>
        <w:tc>
          <w:tcPr>
            <w:tcW w:w="4140" w:type="dxa"/>
            <w:gridSpan w:val="5"/>
            <w:tcBorders>
              <w:top w:val="single" w:color="000000" w:sz="4" w:space="0"/>
              <w:bottom w:val="single" w:color="000000" w:sz="4" w:space="0"/>
              <w:right w:val="single" w:color="000000" w:sz="4" w:space="0"/>
            </w:tcBorders>
            <w:tcMar>
              <w:top w:w="20" w:type="dxa"/>
              <w:left w:w="20" w:type="dxa"/>
              <w:bottom w:w="20" w:type="dxa"/>
              <w:right w:w="20" w:type="dxa"/>
            </w:tcMar>
            <w:vAlign w:val="center"/>
          </w:tcPr>
          <w:p>
            <w:pPr>
              <w:pStyle w:val="8"/>
              <w:spacing w:before="100" w:after="100"/>
              <w:jc w:val="center"/>
            </w:pPr>
            <w:r>
              <w:rPr>
                <w:rFonts w:ascii="宋体" w:hAnsi="宋体" w:eastAsia="宋体" w:cs="宋体"/>
                <w:sz w:val="20"/>
                <w:szCs w:val="20"/>
              </w:rPr>
              <w:t>固定资产</w:t>
            </w:r>
          </w:p>
        </w:tc>
        <w:tc>
          <w:tcPr>
            <w:tcW w:w="345" w:type="dxa"/>
            <w:vMerge w:val="restart"/>
            <w:tcBorders>
              <w:top w:val="single" w:color="000000" w:sz="4" w:space="0"/>
              <w:bottom w:val="single" w:color="000000" w:sz="4" w:space="0"/>
              <w:right w:val="single" w:color="000000" w:sz="4" w:space="0"/>
            </w:tcBorders>
            <w:tcMar>
              <w:top w:w="20" w:type="dxa"/>
              <w:left w:w="20" w:type="dxa"/>
              <w:bottom w:w="20" w:type="dxa"/>
              <w:right w:w="20" w:type="dxa"/>
            </w:tcMar>
            <w:vAlign w:val="center"/>
          </w:tcPr>
          <w:p>
            <w:pPr>
              <w:pStyle w:val="8"/>
              <w:spacing w:before="100" w:after="100"/>
              <w:jc w:val="center"/>
            </w:pPr>
            <w:r>
              <w:rPr>
                <w:rFonts w:ascii="宋体" w:hAnsi="宋体" w:eastAsia="宋体" w:cs="宋体"/>
                <w:sz w:val="20"/>
                <w:szCs w:val="20"/>
              </w:rPr>
              <w:t>对外投资/有价证券</w:t>
            </w:r>
          </w:p>
        </w:tc>
        <w:tc>
          <w:tcPr>
            <w:tcW w:w="855" w:type="dxa"/>
            <w:vMerge w:val="restart"/>
            <w:tcBorders>
              <w:top w:val="single" w:color="000000" w:sz="4" w:space="0"/>
              <w:bottom w:val="single" w:color="000000" w:sz="4" w:space="0"/>
              <w:right w:val="single" w:color="000000" w:sz="4" w:space="0"/>
            </w:tcBorders>
            <w:tcMar>
              <w:top w:w="20" w:type="dxa"/>
              <w:left w:w="20" w:type="dxa"/>
              <w:bottom w:w="20" w:type="dxa"/>
              <w:right w:w="20" w:type="dxa"/>
            </w:tcMar>
            <w:vAlign w:val="center"/>
          </w:tcPr>
          <w:p>
            <w:pPr>
              <w:pStyle w:val="8"/>
              <w:spacing w:before="100" w:after="100"/>
              <w:jc w:val="center"/>
            </w:pPr>
            <w:r>
              <w:rPr>
                <w:rFonts w:ascii="宋体" w:hAnsi="宋体" w:eastAsia="宋体" w:cs="宋体"/>
                <w:sz w:val="20"/>
                <w:szCs w:val="20"/>
              </w:rPr>
              <w:t>在建工程</w:t>
            </w:r>
          </w:p>
        </w:tc>
        <w:tc>
          <w:tcPr>
            <w:tcW w:w="705" w:type="dxa"/>
            <w:vMerge w:val="restart"/>
            <w:tcBorders>
              <w:top w:val="single" w:color="000000" w:sz="4" w:space="0"/>
              <w:bottom w:val="single" w:color="000000" w:sz="4" w:space="0"/>
              <w:right w:val="single" w:color="000000" w:sz="4" w:space="0"/>
            </w:tcBorders>
            <w:tcMar>
              <w:top w:w="20" w:type="dxa"/>
              <w:left w:w="20" w:type="dxa"/>
              <w:bottom w:w="20" w:type="dxa"/>
              <w:right w:w="20" w:type="dxa"/>
            </w:tcMar>
            <w:vAlign w:val="center"/>
          </w:tcPr>
          <w:p>
            <w:pPr>
              <w:pStyle w:val="8"/>
              <w:spacing w:before="100" w:after="100"/>
              <w:jc w:val="center"/>
            </w:pPr>
            <w:r>
              <w:rPr>
                <w:rFonts w:ascii="宋体" w:hAnsi="宋体" w:eastAsia="宋体" w:cs="宋体"/>
                <w:sz w:val="20"/>
                <w:szCs w:val="20"/>
              </w:rPr>
              <w:t>无形资产</w:t>
            </w:r>
          </w:p>
        </w:tc>
        <w:tc>
          <w:tcPr>
            <w:tcW w:w="284" w:type="dxa"/>
            <w:vMerge w:val="restart"/>
            <w:tcBorders>
              <w:top w:val="single" w:color="000000" w:sz="4" w:space="0"/>
              <w:bottom w:val="single" w:color="000000" w:sz="4" w:space="0"/>
              <w:right w:val="single" w:color="000000" w:sz="4" w:space="0"/>
            </w:tcBorders>
            <w:tcMar>
              <w:top w:w="20" w:type="dxa"/>
              <w:left w:w="20" w:type="dxa"/>
              <w:bottom w:w="20" w:type="dxa"/>
              <w:right w:w="20" w:type="dxa"/>
            </w:tcMar>
            <w:vAlign w:val="center"/>
          </w:tcPr>
          <w:p>
            <w:pPr>
              <w:pStyle w:val="8"/>
              <w:spacing w:before="100" w:after="100"/>
              <w:jc w:val="center"/>
            </w:pPr>
            <w:r>
              <w:rPr>
                <w:rFonts w:ascii="宋体" w:hAnsi="宋体" w:eastAsia="宋体" w:cs="宋体"/>
                <w:sz w:val="20"/>
                <w:szCs w:val="20"/>
              </w:rPr>
              <w:t>其他资产</w:t>
            </w:r>
          </w:p>
        </w:tc>
      </w:tr>
      <w:tr>
        <w:tblPrEx>
          <w:tblLayout w:type="fixed"/>
          <w:tblCellMar>
            <w:top w:w="15" w:type="dxa"/>
            <w:left w:w="15" w:type="dxa"/>
            <w:bottom w:w="15" w:type="dxa"/>
            <w:right w:w="15" w:type="dxa"/>
          </w:tblCellMar>
        </w:tblPrEx>
        <w:trPr>
          <w:trHeight w:val="4143" w:hRule="atLeast"/>
        </w:trPr>
        <w:tc>
          <w:tcPr>
            <w:tcW w:w="309" w:type="dxa"/>
            <w:vMerge w:val="continue"/>
            <w:tcBorders>
              <w:left w:val="single" w:color="000000" w:sz="4" w:space="0"/>
              <w:bottom w:val="single" w:color="000000" w:sz="4" w:space="0"/>
              <w:right w:val="single" w:color="000000" w:sz="4" w:space="0"/>
            </w:tcBorders>
            <w:vAlign w:val="center"/>
          </w:tcPr>
          <w:p>
            <w:pPr>
              <w:rPr>
                <w:rFonts w:ascii="宋体" w:hAnsi="宋体" w:cs="宋体"/>
                <w:sz w:val="20"/>
                <w:szCs w:val="20"/>
              </w:rPr>
            </w:pPr>
          </w:p>
        </w:tc>
        <w:tc>
          <w:tcPr>
            <w:tcW w:w="302" w:type="dxa"/>
            <w:vMerge w:val="continue"/>
            <w:tcBorders>
              <w:bottom w:val="single" w:color="000000" w:sz="4" w:space="0"/>
              <w:right w:val="single" w:color="000000" w:sz="4" w:space="0"/>
            </w:tcBorders>
            <w:vAlign w:val="center"/>
          </w:tcPr>
          <w:p>
            <w:pPr>
              <w:rPr>
                <w:rFonts w:ascii="宋体" w:hAnsi="宋体" w:cs="宋体"/>
                <w:sz w:val="20"/>
                <w:szCs w:val="20"/>
              </w:rPr>
            </w:pPr>
          </w:p>
        </w:tc>
        <w:tc>
          <w:tcPr>
            <w:tcW w:w="902" w:type="dxa"/>
            <w:vMerge w:val="continue"/>
            <w:tcBorders>
              <w:bottom w:val="single" w:color="000000" w:sz="4" w:space="0"/>
              <w:right w:val="single" w:color="000000" w:sz="4" w:space="0"/>
            </w:tcBorders>
            <w:vAlign w:val="center"/>
          </w:tcPr>
          <w:p>
            <w:pPr>
              <w:rPr>
                <w:rFonts w:ascii="宋体" w:hAnsi="宋体" w:cs="宋体"/>
                <w:sz w:val="20"/>
                <w:szCs w:val="20"/>
              </w:rPr>
            </w:pPr>
          </w:p>
        </w:tc>
        <w:tc>
          <w:tcPr>
            <w:tcW w:w="839" w:type="dxa"/>
            <w:vMerge w:val="continue"/>
            <w:tcBorders>
              <w:top w:val="single" w:color="000000" w:sz="4" w:space="0"/>
              <w:bottom w:val="single" w:color="000000" w:sz="4" w:space="0"/>
              <w:right w:val="single" w:color="000000" w:sz="4" w:space="0"/>
            </w:tcBorders>
            <w:vAlign w:val="center"/>
          </w:tcPr>
          <w:p>
            <w:pPr>
              <w:rPr>
                <w:rFonts w:ascii="宋体" w:hAnsi="宋体" w:cs="宋体"/>
                <w:sz w:val="20"/>
                <w:szCs w:val="20"/>
              </w:rPr>
            </w:pPr>
          </w:p>
        </w:tc>
        <w:tc>
          <w:tcPr>
            <w:tcW w:w="990" w:type="dxa"/>
            <w:tcBorders>
              <w:bottom w:val="single" w:color="000000" w:sz="4" w:space="0"/>
              <w:right w:val="single" w:color="000000" w:sz="4" w:space="0"/>
            </w:tcBorders>
            <w:tcMar>
              <w:top w:w="20" w:type="dxa"/>
              <w:left w:w="20" w:type="dxa"/>
              <w:bottom w:w="20" w:type="dxa"/>
              <w:right w:w="20" w:type="dxa"/>
            </w:tcMar>
            <w:vAlign w:val="center"/>
          </w:tcPr>
          <w:p>
            <w:pPr>
              <w:pStyle w:val="8"/>
              <w:spacing w:before="100" w:after="100"/>
              <w:jc w:val="center"/>
            </w:pPr>
            <w:r>
              <w:rPr>
                <w:rFonts w:ascii="宋体" w:hAnsi="宋体" w:eastAsia="宋体" w:cs="宋体"/>
                <w:sz w:val="20"/>
                <w:szCs w:val="20"/>
              </w:rPr>
              <w:t>小计</w:t>
            </w:r>
          </w:p>
        </w:tc>
        <w:tc>
          <w:tcPr>
            <w:tcW w:w="975" w:type="dxa"/>
            <w:tcBorders>
              <w:bottom w:val="single" w:color="000000" w:sz="4" w:space="0"/>
              <w:right w:val="single" w:color="000000" w:sz="4" w:space="0"/>
            </w:tcBorders>
            <w:tcMar>
              <w:top w:w="20" w:type="dxa"/>
              <w:left w:w="20" w:type="dxa"/>
              <w:bottom w:w="20" w:type="dxa"/>
              <w:right w:w="20" w:type="dxa"/>
            </w:tcMar>
            <w:vAlign w:val="center"/>
          </w:tcPr>
          <w:p>
            <w:pPr>
              <w:pStyle w:val="8"/>
              <w:spacing w:before="100" w:after="100"/>
              <w:jc w:val="center"/>
            </w:pPr>
            <w:r>
              <w:rPr>
                <w:rFonts w:ascii="宋体" w:hAnsi="宋体" w:eastAsia="宋体" w:cs="宋体"/>
                <w:sz w:val="20"/>
                <w:szCs w:val="20"/>
              </w:rPr>
              <w:t>房屋构筑物</w:t>
            </w:r>
          </w:p>
        </w:tc>
        <w:tc>
          <w:tcPr>
            <w:tcW w:w="930" w:type="dxa"/>
            <w:tcBorders>
              <w:bottom w:val="single" w:color="000000" w:sz="4" w:space="0"/>
              <w:right w:val="single" w:color="000000" w:sz="4" w:space="0"/>
            </w:tcBorders>
            <w:tcMar>
              <w:top w:w="20" w:type="dxa"/>
              <w:left w:w="20" w:type="dxa"/>
              <w:bottom w:w="20" w:type="dxa"/>
              <w:right w:w="20" w:type="dxa"/>
            </w:tcMar>
            <w:vAlign w:val="center"/>
          </w:tcPr>
          <w:p>
            <w:pPr>
              <w:pStyle w:val="8"/>
              <w:spacing w:before="100" w:after="100"/>
              <w:jc w:val="center"/>
            </w:pPr>
            <w:r>
              <w:rPr>
                <w:rFonts w:ascii="宋体" w:hAnsi="宋体" w:eastAsia="宋体" w:cs="宋体"/>
                <w:sz w:val="20"/>
                <w:szCs w:val="20"/>
              </w:rPr>
              <w:t>车辆</w:t>
            </w:r>
          </w:p>
        </w:tc>
        <w:tc>
          <w:tcPr>
            <w:tcW w:w="435" w:type="dxa"/>
            <w:tcBorders>
              <w:bottom w:val="single" w:color="000000" w:sz="4" w:space="0"/>
              <w:right w:val="single" w:color="000000" w:sz="4" w:space="0"/>
            </w:tcBorders>
            <w:tcMar>
              <w:top w:w="20" w:type="dxa"/>
              <w:left w:w="20" w:type="dxa"/>
              <w:bottom w:w="20" w:type="dxa"/>
              <w:right w:w="20" w:type="dxa"/>
            </w:tcMar>
            <w:vAlign w:val="center"/>
          </w:tcPr>
          <w:p>
            <w:pPr>
              <w:pStyle w:val="8"/>
              <w:spacing w:before="100" w:after="100"/>
              <w:jc w:val="center"/>
            </w:pPr>
            <w:r>
              <w:rPr>
                <w:rFonts w:ascii="宋体" w:hAnsi="宋体" w:eastAsia="宋体" w:cs="宋体"/>
                <w:sz w:val="20"/>
                <w:szCs w:val="20"/>
              </w:rPr>
              <w:t>单价200万以上大型设备</w:t>
            </w:r>
          </w:p>
        </w:tc>
        <w:tc>
          <w:tcPr>
            <w:tcW w:w="810" w:type="dxa"/>
            <w:tcBorders>
              <w:bottom w:val="single" w:color="000000" w:sz="4" w:space="0"/>
              <w:right w:val="single" w:color="000000" w:sz="4" w:space="0"/>
            </w:tcBorders>
            <w:tcMar>
              <w:top w:w="20" w:type="dxa"/>
              <w:left w:w="20" w:type="dxa"/>
              <w:bottom w:w="20" w:type="dxa"/>
              <w:right w:w="20" w:type="dxa"/>
            </w:tcMar>
            <w:vAlign w:val="center"/>
          </w:tcPr>
          <w:p>
            <w:pPr>
              <w:pStyle w:val="8"/>
              <w:spacing w:before="100" w:after="100"/>
              <w:jc w:val="center"/>
            </w:pPr>
            <w:r>
              <w:rPr>
                <w:rFonts w:ascii="宋体" w:hAnsi="宋体" w:eastAsia="宋体" w:cs="宋体"/>
                <w:sz w:val="20"/>
                <w:szCs w:val="20"/>
              </w:rPr>
              <w:t>其他固定资产</w:t>
            </w:r>
          </w:p>
        </w:tc>
        <w:tc>
          <w:tcPr>
            <w:tcW w:w="345" w:type="dxa"/>
            <w:vMerge w:val="continue"/>
            <w:tcBorders>
              <w:top w:val="single" w:color="000000" w:sz="4" w:space="0"/>
              <w:bottom w:val="single" w:color="000000" w:sz="4" w:space="0"/>
              <w:right w:val="single" w:color="000000" w:sz="4" w:space="0"/>
            </w:tcBorders>
            <w:vAlign w:val="center"/>
          </w:tcPr>
          <w:p>
            <w:pPr>
              <w:rPr>
                <w:rFonts w:ascii="宋体" w:hAnsi="宋体" w:cs="宋体"/>
                <w:sz w:val="20"/>
                <w:szCs w:val="20"/>
              </w:rPr>
            </w:pPr>
          </w:p>
        </w:tc>
        <w:tc>
          <w:tcPr>
            <w:tcW w:w="855" w:type="dxa"/>
            <w:vMerge w:val="continue"/>
            <w:tcBorders>
              <w:top w:val="single" w:color="000000" w:sz="4" w:space="0"/>
              <w:bottom w:val="single" w:color="000000" w:sz="4" w:space="0"/>
              <w:right w:val="single" w:color="000000" w:sz="4" w:space="0"/>
            </w:tcBorders>
            <w:vAlign w:val="center"/>
          </w:tcPr>
          <w:p>
            <w:pPr>
              <w:rPr>
                <w:rFonts w:ascii="宋体" w:hAnsi="宋体" w:cs="宋体"/>
                <w:sz w:val="20"/>
                <w:szCs w:val="20"/>
              </w:rPr>
            </w:pPr>
          </w:p>
        </w:tc>
        <w:tc>
          <w:tcPr>
            <w:tcW w:w="705" w:type="dxa"/>
            <w:vMerge w:val="continue"/>
            <w:tcBorders>
              <w:top w:val="single" w:color="000000" w:sz="4" w:space="0"/>
              <w:bottom w:val="single" w:color="000000" w:sz="4" w:space="0"/>
              <w:right w:val="single" w:color="000000" w:sz="4" w:space="0"/>
            </w:tcBorders>
            <w:vAlign w:val="center"/>
          </w:tcPr>
          <w:p>
            <w:pPr>
              <w:rPr>
                <w:rFonts w:ascii="宋体" w:hAnsi="宋体" w:cs="宋体"/>
                <w:sz w:val="20"/>
                <w:szCs w:val="20"/>
              </w:rPr>
            </w:pPr>
          </w:p>
        </w:tc>
        <w:tc>
          <w:tcPr>
            <w:tcW w:w="284" w:type="dxa"/>
            <w:vMerge w:val="continue"/>
            <w:tcBorders>
              <w:top w:val="single" w:color="000000" w:sz="4" w:space="0"/>
              <w:bottom w:val="single" w:color="000000" w:sz="4" w:space="0"/>
              <w:right w:val="single" w:color="000000" w:sz="4" w:space="0"/>
            </w:tcBorders>
            <w:vAlign w:val="center"/>
          </w:tcPr>
          <w:p>
            <w:pPr>
              <w:rPr>
                <w:rFonts w:ascii="宋体" w:hAnsi="宋体" w:cs="宋体"/>
                <w:sz w:val="20"/>
                <w:szCs w:val="20"/>
              </w:rPr>
            </w:pPr>
          </w:p>
        </w:tc>
      </w:tr>
      <w:tr>
        <w:tblPrEx>
          <w:tblLayout w:type="fixed"/>
          <w:tblCellMar>
            <w:top w:w="15" w:type="dxa"/>
            <w:left w:w="15" w:type="dxa"/>
            <w:bottom w:w="15" w:type="dxa"/>
            <w:right w:w="15" w:type="dxa"/>
          </w:tblCellMar>
        </w:tblPrEx>
        <w:trPr>
          <w:trHeight w:val="642" w:hRule="atLeast"/>
        </w:trPr>
        <w:tc>
          <w:tcPr>
            <w:tcW w:w="309" w:type="dxa"/>
            <w:tcBorders>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8"/>
              <w:spacing w:before="100" w:after="100"/>
              <w:jc w:val="center"/>
            </w:pPr>
            <w:r>
              <w:rPr>
                <w:rFonts w:ascii="宋体" w:hAnsi="宋体" w:eastAsia="宋体" w:cs="宋体"/>
                <w:sz w:val="20"/>
                <w:szCs w:val="20"/>
              </w:rPr>
              <w:t>栏次</w:t>
            </w:r>
          </w:p>
        </w:tc>
        <w:tc>
          <w:tcPr>
            <w:tcW w:w="302" w:type="dxa"/>
            <w:tcBorders>
              <w:bottom w:val="single" w:color="000000" w:sz="4" w:space="0"/>
              <w:right w:val="single" w:color="000000" w:sz="4" w:space="0"/>
            </w:tcBorders>
            <w:tcMar>
              <w:top w:w="5" w:type="dxa"/>
              <w:left w:w="5" w:type="dxa"/>
              <w:bottom w:w="5" w:type="dxa"/>
              <w:right w:w="5" w:type="dxa"/>
            </w:tcMar>
            <w:vAlign w:val="center"/>
          </w:tcPr>
          <w:p>
            <w:pPr>
              <w:pStyle w:val="8"/>
              <w:spacing w:before="100" w:after="100"/>
              <w:jc w:val="left"/>
            </w:pPr>
            <w:r>
              <w:rPr>
                <w:rFonts w:ascii="宋体" w:hAnsi="宋体" w:eastAsia="宋体" w:cs="宋体"/>
                <w:sz w:val="20"/>
                <w:szCs w:val="20"/>
              </w:rPr>
              <w:t> </w:t>
            </w:r>
          </w:p>
        </w:tc>
        <w:tc>
          <w:tcPr>
            <w:tcW w:w="902" w:type="dxa"/>
            <w:tcBorders>
              <w:bottom w:val="single" w:color="000000" w:sz="4" w:space="0"/>
              <w:right w:val="single" w:color="000000" w:sz="4" w:space="0"/>
            </w:tcBorders>
            <w:tcMar>
              <w:top w:w="5" w:type="dxa"/>
              <w:left w:w="5" w:type="dxa"/>
              <w:bottom w:w="5" w:type="dxa"/>
              <w:right w:w="5" w:type="dxa"/>
            </w:tcMar>
            <w:vAlign w:val="center"/>
          </w:tcPr>
          <w:p>
            <w:pPr>
              <w:pStyle w:val="8"/>
              <w:spacing w:before="100" w:after="100"/>
              <w:jc w:val="center"/>
            </w:pPr>
            <w:r>
              <w:rPr>
                <w:rFonts w:ascii="宋体" w:hAnsi="宋体" w:eastAsia="宋体" w:cs="宋体"/>
                <w:sz w:val="20"/>
                <w:szCs w:val="20"/>
              </w:rPr>
              <w:t>1</w:t>
            </w:r>
          </w:p>
        </w:tc>
        <w:tc>
          <w:tcPr>
            <w:tcW w:w="839" w:type="dxa"/>
            <w:tcBorders>
              <w:bottom w:val="single" w:color="000000" w:sz="4" w:space="0"/>
              <w:right w:val="single" w:color="000000" w:sz="4" w:space="0"/>
            </w:tcBorders>
            <w:tcMar>
              <w:top w:w="5" w:type="dxa"/>
              <w:left w:w="5" w:type="dxa"/>
              <w:bottom w:w="5" w:type="dxa"/>
              <w:right w:w="5" w:type="dxa"/>
            </w:tcMar>
            <w:vAlign w:val="center"/>
          </w:tcPr>
          <w:p>
            <w:pPr>
              <w:pStyle w:val="8"/>
              <w:spacing w:before="100" w:after="100"/>
              <w:jc w:val="center"/>
            </w:pPr>
            <w:r>
              <w:rPr>
                <w:rFonts w:ascii="宋体" w:hAnsi="宋体" w:eastAsia="宋体" w:cs="宋体"/>
                <w:sz w:val="20"/>
                <w:szCs w:val="20"/>
              </w:rPr>
              <w:t>2</w:t>
            </w:r>
          </w:p>
        </w:tc>
        <w:tc>
          <w:tcPr>
            <w:tcW w:w="990" w:type="dxa"/>
            <w:tcBorders>
              <w:bottom w:val="single" w:color="000000" w:sz="4" w:space="0"/>
              <w:right w:val="single" w:color="000000" w:sz="4" w:space="0"/>
            </w:tcBorders>
            <w:tcMar>
              <w:top w:w="5" w:type="dxa"/>
              <w:left w:w="5" w:type="dxa"/>
              <w:bottom w:w="5" w:type="dxa"/>
              <w:right w:w="5" w:type="dxa"/>
            </w:tcMar>
            <w:vAlign w:val="center"/>
          </w:tcPr>
          <w:p>
            <w:pPr>
              <w:pStyle w:val="8"/>
              <w:spacing w:before="100" w:after="100"/>
              <w:jc w:val="center"/>
            </w:pPr>
            <w:r>
              <w:rPr>
                <w:rFonts w:ascii="宋体" w:hAnsi="宋体" w:eastAsia="宋体" w:cs="宋体"/>
                <w:sz w:val="20"/>
                <w:szCs w:val="20"/>
              </w:rPr>
              <w:t>3</w:t>
            </w:r>
          </w:p>
        </w:tc>
        <w:tc>
          <w:tcPr>
            <w:tcW w:w="975" w:type="dxa"/>
            <w:tcBorders>
              <w:bottom w:val="single" w:color="000000" w:sz="4" w:space="0"/>
              <w:right w:val="single" w:color="000000" w:sz="4" w:space="0"/>
            </w:tcBorders>
            <w:tcMar>
              <w:top w:w="5" w:type="dxa"/>
              <w:left w:w="5" w:type="dxa"/>
              <w:bottom w:w="5" w:type="dxa"/>
              <w:right w:w="5" w:type="dxa"/>
            </w:tcMar>
            <w:vAlign w:val="center"/>
          </w:tcPr>
          <w:p>
            <w:pPr>
              <w:pStyle w:val="8"/>
              <w:spacing w:before="100" w:after="100"/>
              <w:jc w:val="center"/>
            </w:pPr>
            <w:r>
              <w:rPr>
                <w:rFonts w:ascii="宋体" w:hAnsi="宋体" w:eastAsia="宋体" w:cs="宋体"/>
                <w:sz w:val="20"/>
                <w:szCs w:val="20"/>
              </w:rPr>
              <w:t>4</w:t>
            </w:r>
          </w:p>
        </w:tc>
        <w:tc>
          <w:tcPr>
            <w:tcW w:w="930" w:type="dxa"/>
            <w:tcBorders>
              <w:bottom w:val="single" w:color="000000" w:sz="4" w:space="0"/>
              <w:right w:val="single" w:color="000000" w:sz="4" w:space="0"/>
            </w:tcBorders>
            <w:tcMar>
              <w:top w:w="5" w:type="dxa"/>
              <w:left w:w="5" w:type="dxa"/>
              <w:bottom w:w="5" w:type="dxa"/>
              <w:right w:w="5" w:type="dxa"/>
            </w:tcMar>
            <w:vAlign w:val="center"/>
          </w:tcPr>
          <w:p>
            <w:pPr>
              <w:pStyle w:val="8"/>
              <w:spacing w:before="100" w:after="100"/>
              <w:jc w:val="center"/>
            </w:pPr>
            <w:r>
              <w:rPr>
                <w:rFonts w:ascii="宋体" w:hAnsi="宋体" w:eastAsia="宋体" w:cs="宋体"/>
                <w:sz w:val="20"/>
                <w:szCs w:val="20"/>
              </w:rPr>
              <w:t>5</w:t>
            </w:r>
          </w:p>
        </w:tc>
        <w:tc>
          <w:tcPr>
            <w:tcW w:w="435" w:type="dxa"/>
            <w:tcBorders>
              <w:bottom w:val="single" w:color="000000" w:sz="4" w:space="0"/>
              <w:right w:val="single" w:color="000000" w:sz="4" w:space="0"/>
            </w:tcBorders>
            <w:tcMar>
              <w:top w:w="5" w:type="dxa"/>
              <w:left w:w="5" w:type="dxa"/>
              <w:bottom w:w="5" w:type="dxa"/>
              <w:right w:w="5" w:type="dxa"/>
            </w:tcMar>
            <w:vAlign w:val="center"/>
          </w:tcPr>
          <w:p>
            <w:pPr>
              <w:pStyle w:val="8"/>
              <w:spacing w:before="100" w:after="100"/>
              <w:jc w:val="center"/>
            </w:pPr>
            <w:r>
              <w:rPr>
                <w:rFonts w:ascii="宋体" w:hAnsi="宋体" w:eastAsia="宋体" w:cs="宋体"/>
                <w:sz w:val="20"/>
                <w:szCs w:val="20"/>
              </w:rPr>
              <w:t>6</w:t>
            </w:r>
          </w:p>
        </w:tc>
        <w:tc>
          <w:tcPr>
            <w:tcW w:w="810" w:type="dxa"/>
            <w:tcBorders>
              <w:bottom w:val="single" w:color="000000" w:sz="4" w:space="0"/>
              <w:right w:val="single" w:color="000000" w:sz="4" w:space="0"/>
            </w:tcBorders>
            <w:tcMar>
              <w:top w:w="5" w:type="dxa"/>
              <w:left w:w="5" w:type="dxa"/>
              <w:bottom w:w="5" w:type="dxa"/>
              <w:right w:w="5" w:type="dxa"/>
            </w:tcMar>
            <w:vAlign w:val="center"/>
          </w:tcPr>
          <w:p>
            <w:pPr>
              <w:pStyle w:val="8"/>
              <w:spacing w:before="100" w:after="100"/>
              <w:jc w:val="center"/>
            </w:pPr>
            <w:r>
              <w:rPr>
                <w:rFonts w:ascii="宋体" w:hAnsi="宋体" w:eastAsia="宋体" w:cs="宋体"/>
                <w:sz w:val="20"/>
                <w:szCs w:val="20"/>
              </w:rPr>
              <w:t>7</w:t>
            </w:r>
          </w:p>
        </w:tc>
        <w:tc>
          <w:tcPr>
            <w:tcW w:w="345" w:type="dxa"/>
            <w:tcBorders>
              <w:bottom w:val="single" w:color="000000" w:sz="4" w:space="0"/>
              <w:right w:val="single" w:color="000000" w:sz="4" w:space="0"/>
            </w:tcBorders>
            <w:tcMar>
              <w:top w:w="5" w:type="dxa"/>
              <w:left w:w="5" w:type="dxa"/>
              <w:bottom w:w="5" w:type="dxa"/>
              <w:right w:w="5" w:type="dxa"/>
            </w:tcMar>
            <w:vAlign w:val="center"/>
          </w:tcPr>
          <w:p>
            <w:pPr>
              <w:pStyle w:val="8"/>
              <w:spacing w:before="100" w:after="100"/>
              <w:jc w:val="center"/>
            </w:pPr>
            <w:r>
              <w:rPr>
                <w:rFonts w:ascii="宋体" w:hAnsi="宋体" w:eastAsia="宋体" w:cs="宋体"/>
                <w:sz w:val="20"/>
                <w:szCs w:val="20"/>
              </w:rPr>
              <w:t>8</w:t>
            </w:r>
          </w:p>
        </w:tc>
        <w:tc>
          <w:tcPr>
            <w:tcW w:w="855" w:type="dxa"/>
            <w:tcBorders>
              <w:bottom w:val="single" w:color="000000" w:sz="4" w:space="0"/>
              <w:right w:val="single" w:color="000000" w:sz="4" w:space="0"/>
            </w:tcBorders>
            <w:tcMar>
              <w:top w:w="5" w:type="dxa"/>
              <w:left w:w="5" w:type="dxa"/>
              <w:bottom w:w="5" w:type="dxa"/>
              <w:right w:w="5" w:type="dxa"/>
            </w:tcMar>
            <w:vAlign w:val="center"/>
          </w:tcPr>
          <w:p>
            <w:pPr>
              <w:pStyle w:val="8"/>
              <w:spacing w:before="100" w:after="100"/>
              <w:jc w:val="center"/>
            </w:pPr>
            <w:r>
              <w:rPr>
                <w:rFonts w:ascii="宋体" w:hAnsi="宋体" w:eastAsia="宋体" w:cs="宋体"/>
                <w:sz w:val="20"/>
                <w:szCs w:val="20"/>
              </w:rPr>
              <w:t>9</w:t>
            </w:r>
          </w:p>
        </w:tc>
        <w:tc>
          <w:tcPr>
            <w:tcW w:w="705" w:type="dxa"/>
            <w:tcBorders>
              <w:bottom w:val="single" w:color="000000" w:sz="4" w:space="0"/>
              <w:right w:val="single" w:color="000000" w:sz="4" w:space="0"/>
            </w:tcBorders>
            <w:tcMar>
              <w:top w:w="5" w:type="dxa"/>
              <w:left w:w="5" w:type="dxa"/>
              <w:bottom w:w="5" w:type="dxa"/>
              <w:right w:w="5" w:type="dxa"/>
            </w:tcMar>
            <w:vAlign w:val="center"/>
          </w:tcPr>
          <w:p>
            <w:pPr>
              <w:pStyle w:val="8"/>
              <w:spacing w:before="100" w:after="100"/>
              <w:jc w:val="center"/>
            </w:pPr>
            <w:r>
              <w:rPr>
                <w:rFonts w:ascii="宋体" w:hAnsi="宋体" w:eastAsia="宋体" w:cs="宋体"/>
                <w:sz w:val="20"/>
                <w:szCs w:val="20"/>
              </w:rPr>
              <w:t>10</w:t>
            </w:r>
          </w:p>
        </w:tc>
        <w:tc>
          <w:tcPr>
            <w:tcW w:w="284" w:type="dxa"/>
            <w:tcBorders>
              <w:bottom w:val="single" w:color="000000" w:sz="4" w:space="0"/>
              <w:right w:val="single" w:color="000000" w:sz="4" w:space="0"/>
            </w:tcBorders>
            <w:tcMar>
              <w:top w:w="5" w:type="dxa"/>
              <w:left w:w="5" w:type="dxa"/>
              <w:bottom w:w="5" w:type="dxa"/>
              <w:right w:w="5" w:type="dxa"/>
            </w:tcMar>
            <w:vAlign w:val="center"/>
          </w:tcPr>
          <w:p>
            <w:pPr>
              <w:pStyle w:val="8"/>
              <w:spacing w:before="100" w:after="100"/>
              <w:jc w:val="center"/>
            </w:pPr>
            <w:r>
              <w:rPr>
                <w:rFonts w:ascii="宋体" w:hAnsi="宋体" w:eastAsia="宋体" w:cs="宋体"/>
                <w:sz w:val="20"/>
                <w:szCs w:val="20"/>
              </w:rPr>
              <w:t>11</w:t>
            </w:r>
          </w:p>
        </w:tc>
      </w:tr>
      <w:tr>
        <w:tblPrEx>
          <w:tblLayout w:type="fixed"/>
          <w:tblCellMar>
            <w:top w:w="15" w:type="dxa"/>
            <w:left w:w="15" w:type="dxa"/>
            <w:bottom w:w="15" w:type="dxa"/>
            <w:right w:w="15" w:type="dxa"/>
          </w:tblCellMar>
        </w:tblPrEx>
        <w:trPr>
          <w:trHeight w:val="1128" w:hRule="atLeast"/>
        </w:trPr>
        <w:tc>
          <w:tcPr>
            <w:tcW w:w="309" w:type="dxa"/>
            <w:tcBorders>
              <w:left w:val="single" w:color="000000" w:sz="4" w:space="0"/>
              <w:bottom w:val="single" w:color="000000" w:sz="4" w:space="0"/>
              <w:right w:val="single" w:color="000000" w:sz="4" w:space="0"/>
            </w:tcBorders>
            <w:tcMar>
              <w:top w:w="20" w:type="dxa"/>
              <w:left w:w="20" w:type="dxa"/>
              <w:bottom w:w="20" w:type="dxa"/>
              <w:right w:w="20" w:type="dxa"/>
            </w:tcMar>
            <w:vAlign w:val="center"/>
          </w:tcPr>
          <w:p>
            <w:pPr>
              <w:pStyle w:val="8"/>
              <w:spacing w:before="100" w:after="100"/>
              <w:jc w:val="center"/>
            </w:pPr>
            <w:r>
              <w:rPr>
                <w:rFonts w:ascii="宋体" w:hAnsi="宋体" w:eastAsia="宋体" w:cs="宋体"/>
                <w:sz w:val="20"/>
                <w:szCs w:val="20"/>
              </w:rPr>
              <w:t>合计</w:t>
            </w:r>
          </w:p>
        </w:tc>
        <w:tc>
          <w:tcPr>
            <w:tcW w:w="302" w:type="dxa"/>
            <w:tcBorders>
              <w:bottom w:val="single" w:color="000000" w:sz="4" w:space="0"/>
              <w:right w:val="single" w:color="000000" w:sz="4" w:space="0"/>
            </w:tcBorders>
            <w:tcMar>
              <w:top w:w="20" w:type="dxa"/>
              <w:left w:w="20" w:type="dxa"/>
              <w:bottom w:w="20" w:type="dxa"/>
              <w:right w:w="20" w:type="dxa"/>
            </w:tcMar>
            <w:vAlign w:val="center"/>
          </w:tcPr>
          <w:p>
            <w:pPr>
              <w:pStyle w:val="8"/>
              <w:spacing w:before="100" w:after="100"/>
              <w:jc w:val="center"/>
            </w:pPr>
            <w:r>
              <w:rPr>
                <w:rFonts w:ascii="宋体" w:hAnsi="宋体" w:eastAsia="宋体" w:cs="宋体"/>
                <w:sz w:val="20"/>
                <w:szCs w:val="20"/>
              </w:rPr>
              <w:t>1</w:t>
            </w:r>
          </w:p>
        </w:tc>
        <w:tc>
          <w:tcPr>
            <w:tcW w:w="902" w:type="dxa"/>
            <w:tcBorders>
              <w:bottom w:val="single" w:color="000000" w:sz="4" w:space="0"/>
              <w:right w:val="single" w:color="000000" w:sz="4" w:space="0"/>
            </w:tcBorders>
            <w:tcMar>
              <w:top w:w="20" w:type="dxa"/>
              <w:left w:w="20" w:type="dxa"/>
              <w:bottom w:w="20" w:type="dxa"/>
              <w:right w:w="20" w:type="dxa"/>
            </w:tcMar>
            <w:vAlign w:val="center"/>
          </w:tcPr>
          <w:p>
            <w:pPr>
              <w:pStyle w:val="8"/>
              <w:spacing w:before="100" w:after="100"/>
              <w:jc w:val="center"/>
              <w:rPr>
                <w:rFonts w:ascii="宋体" w:hAnsi="宋体" w:eastAsia="宋体" w:cs="宋体"/>
                <w:sz w:val="20"/>
                <w:szCs w:val="20"/>
              </w:rPr>
            </w:pPr>
            <w:r>
              <w:rPr>
                <w:rFonts w:hint="eastAsia" w:ascii="宋体" w:hAnsi="宋体" w:eastAsia="宋体" w:cs="宋体"/>
                <w:sz w:val="20"/>
                <w:szCs w:val="20"/>
              </w:rPr>
              <w:t>3168.64</w:t>
            </w:r>
          </w:p>
        </w:tc>
        <w:tc>
          <w:tcPr>
            <w:tcW w:w="839" w:type="dxa"/>
            <w:tcBorders>
              <w:bottom w:val="single" w:color="000000" w:sz="4" w:space="0"/>
              <w:right w:val="single" w:color="000000" w:sz="4" w:space="0"/>
            </w:tcBorders>
            <w:tcMar>
              <w:top w:w="20" w:type="dxa"/>
              <w:left w:w="20" w:type="dxa"/>
              <w:bottom w:w="20" w:type="dxa"/>
              <w:right w:w="20" w:type="dxa"/>
            </w:tcMar>
            <w:vAlign w:val="center"/>
          </w:tcPr>
          <w:p>
            <w:pPr>
              <w:pStyle w:val="8"/>
              <w:spacing w:before="100" w:after="100"/>
              <w:jc w:val="center"/>
              <w:rPr>
                <w:rFonts w:ascii="宋体" w:hAnsi="宋体" w:eastAsia="宋体" w:cs="宋体"/>
                <w:sz w:val="20"/>
                <w:szCs w:val="20"/>
              </w:rPr>
            </w:pPr>
            <w:r>
              <w:rPr>
                <w:rFonts w:hint="eastAsia" w:ascii="宋体" w:hAnsi="宋体" w:eastAsia="宋体" w:cs="宋体"/>
                <w:sz w:val="20"/>
                <w:szCs w:val="20"/>
              </w:rPr>
              <w:t>77.15</w:t>
            </w:r>
          </w:p>
        </w:tc>
        <w:tc>
          <w:tcPr>
            <w:tcW w:w="990" w:type="dxa"/>
            <w:tcBorders>
              <w:bottom w:val="single" w:color="000000" w:sz="4" w:space="0"/>
              <w:right w:val="single" w:color="000000" w:sz="4" w:space="0"/>
            </w:tcBorders>
            <w:tcMar>
              <w:top w:w="20" w:type="dxa"/>
              <w:left w:w="20" w:type="dxa"/>
              <w:bottom w:w="20" w:type="dxa"/>
              <w:right w:w="20" w:type="dxa"/>
            </w:tcMar>
            <w:vAlign w:val="center"/>
          </w:tcPr>
          <w:p>
            <w:pPr>
              <w:pStyle w:val="8"/>
              <w:spacing w:before="100" w:after="100"/>
              <w:jc w:val="center"/>
              <w:rPr>
                <w:rFonts w:ascii="宋体" w:hAnsi="宋体" w:eastAsia="宋体" w:cs="宋体"/>
                <w:sz w:val="20"/>
                <w:szCs w:val="20"/>
              </w:rPr>
            </w:pPr>
            <w:r>
              <w:rPr>
                <w:rFonts w:hint="eastAsia" w:ascii="宋体" w:hAnsi="宋体" w:eastAsia="宋体" w:cs="宋体"/>
                <w:sz w:val="20"/>
                <w:szCs w:val="20"/>
              </w:rPr>
              <w:t>1654.84</w:t>
            </w:r>
          </w:p>
        </w:tc>
        <w:tc>
          <w:tcPr>
            <w:tcW w:w="975" w:type="dxa"/>
            <w:tcBorders>
              <w:bottom w:val="single" w:color="000000" w:sz="4" w:space="0"/>
              <w:right w:val="single" w:color="000000" w:sz="4" w:space="0"/>
            </w:tcBorders>
            <w:tcMar>
              <w:top w:w="20" w:type="dxa"/>
              <w:left w:w="20" w:type="dxa"/>
              <w:bottom w:w="20" w:type="dxa"/>
              <w:right w:w="20" w:type="dxa"/>
            </w:tcMar>
            <w:vAlign w:val="center"/>
          </w:tcPr>
          <w:p>
            <w:pPr>
              <w:pStyle w:val="8"/>
              <w:tabs>
                <w:tab w:val="left" w:pos="421"/>
                <w:tab w:val="right" w:pos="785"/>
              </w:tabs>
              <w:spacing w:before="100" w:after="100"/>
              <w:jc w:val="center"/>
              <w:rPr>
                <w:rFonts w:ascii="宋体" w:hAnsi="宋体" w:eastAsia="宋体" w:cs="宋体"/>
                <w:sz w:val="20"/>
                <w:szCs w:val="20"/>
              </w:rPr>
            </w:pPr>
            <w:r>
              <w:rPr>
                <w:rFonts w:hint="eastAsia" w:ascii="宋体" w:hAnsi="宋体" w:eastAsia="宋体" w:cs="宋体"/>
                <w:sz w:val="20"/>
                <w:szCs w:val="20"/>
              </w:rPr>
              <w:t>868.41</w:t>
            </w:r>
          </w:p>
        </w:tc>
        <w:tc>
          <w:tcPr>
            <w:tcW w:w="930" w:type="dxa"/>
            <w:tcBorders>
              <w:bottom w:val="single" w:color="000000" w:sz="4" w:space="0"/>
              <w:right w:val="single" w:color="000000" w:sz="4" w:space="0"/>
            </w:tcBorders>
            <w:tcMar>
              <w:top w:w="20" w:type="dxa"/>
              <w:left w:w="20" w:type="dxa"/>
              <w:bottom w:w="20" w:type="dxa"/>
              <w:right w:w="20" w:type="dxa"/>
            </w:tcMar>
            <w:vAlign w:val="center"/>
          </w:tcPr>
          <w:p>
            <w:pPr>
              <w:pStyle w:val="8"/>
              <w:tabs>
                <w:tab w:val="center" w:pos="215"/>
                <w:tab w:val="right" w:pos="550"/>
              </w:tabs>
              <w:spacing w:before="100" w:after="100"/>
              <w:jc w:val="center"/>
              <w:rPr>
                <w:rFonts w:ascii="宋体" w:hAnsi="宋体" w:eastAsia="宋体" w:cs="宋体"/>
                <w:sz w:val="20"/>
                <w:szCs w:val="20"/>
              </w:rPr>
            </w:pPr>
            <w:r>
              <w:rPr>
                <w:rFonts w:hint="eastAsia" w:ascii="宋体" w:hAnsi="宋体" w:eastAsia="宋体" w:cs="宋体"/>
                <w:sz w:val="20"/>
                <w:szCs w:val="20"/>
              </w:rPr>
              <w:t>229.50</w:t>
            </w:r>
          </w:p>
        </w:tc>
        <w:tc>
          <w:tcPr>
            <w:tcW w:w="435" w:type="dxa"/>
            <w:tcBorders>
              <w:bottom w:val="single" w:color="000000" w:sz="4" w:space="0"/>
              <w:right w:val="single" w:color="000000" w:sz="4" w:space="0"/>
            </w:tcBorders>
            <w:tcMar>
              <w:top w:w="20" w:type="dxa"/>
              <w:left w:w="20" w:type="dxa"/>
              <w:bottom w:w="20" w:type="dxa"/>
              <w:right w:w="20" w:type="dxa"/>
            </w:tcMar>
            <w:vAlign w:val="center"/>
          </w:tcPr>
          <w:p>
            <w:pPr>
              <w:jc w:val="center"/>
              <w:rPr>
                <w:rFonts w:ascii="宋体" w:hAnsi="宋体" w:cs="宋体"/>
                <w:sz w:val="20"/>
                <w:szCs w:val="20"/>
              </w:rPr>
            </w:pPr>
            <w:r>
              <w:rPr>
                <w:rFonts w:hint="eastAsia" w:ascii="宋体" w:hAnsi="宋体" w:cs="宋体"/>
                <w:sz w:val="20"/>
                <w:szCs w:val="20"/>
              </w:rPr>
              <w:t>0</w:t>
            </w:r>
          </w:p>
        </w:tc>
        <w:tc>
          <w:tcPr>
            <w:tcW w:w="810" w:type="dxa"/>
            <w:tcBorders>
              <w:bottom w:val="single" w:color="000000" w:sz="4" w:space="0"/>
              <w:right w:val="single" w:color="000000" w:sz="4" w:space="0"/>
            </w:tcBorders>
            <w:tcMar>
              <w:top w:w="20" w:type="dxa"/>
              <w:left w:w="20" w:type="dxa"/>
              <w:bottom w:w="20" w:type="dxa"/>
              <w:right w:w="20" w:type="dxa"/>
            </w:tcMar>
            <w:vAlign w:val="center"/>
          </w:tcPr>
          <w:p>
            <w:pPr>
              <w:pStyle w:val="8"/>
              <w:spacing w:before="100" w:after="100"/>
              <w:jc w:val="center"/>
              <w:rPr>
                <w:rFonts w:ascii="宋体" w:hAnsi="宋体" w:eastAsia="宋体" w:cs="宋体"/>
                <w:sz w:val="20"/>
                <w:szCs w:val="20"/>
              </w:rPr>
            </w:pPr>
            <w:r>
              <w:rPr>
                <w:rFonts w:hint="eastAsia" w:ascii="宋体" w:hAnsi="宋体" w:eastAsia="宋体" w:cs="宋体"/>
                <w:sz w:val="20"/>
                <w:szCs w:val="20"/>
              </w:rPr>
              <w:t>556.93</w:t>
            </w:r>
          </w:p>
        </w:tc>
        <w:tc>
          <w:tcPr>
            <w:tcW w:w="345" w:type="dxa"/>
            <w:tcBorders>
              <w:bottom w:val="single" w:color="000000" w:sz="4" w:space="0"/>
              <w:right w:val="single" w:color="000000" w:sz="4" w:space="0"/>
            </w:tcBorders>
            <w:tcMar>
              <w:top w:w="20" w:type="dxa"/>
              <w:left w:w="20" w:type="dxa"/>
              <w:bottom w:w="20" w:type="dxa"/>
              <w:right w:w="20" w:type="dxa"/>
            </w:tcMar>
            <w:vAlign w:val="center"/>
          </w:tcPr>
          <w:p>
            <w:pPr>
              <w:pStyle w:val="8"/>
              <w:tabs>
                <w:tab w:val="center" w:pos="568"/>
                <w:tab w:val="right" w:pos="1256"/>
              </w:tabs>
              <w:spacing w:before="100" w:after="100"/>
              <w:jc w:val="center"/>
              <w:rPr>
                <w:rFonts w:ascii="宋体" w:hAnsi="宋体" w:eastAsia="宋体" w:cs="宋体"/>
                <w:sz w:val="20"/>
                <w:szCs w:val="20"/>
              </w:rPr>
            </w:pPr>
            <w:r>
              <w:rPr>
                <w:rFonts w:hint="eastAsia" w:ascii="宋体" w:hAnsi="宋体" w:eastAsia="宋体" w:cs="宋体"/>
                <w:sz w:val="20"/>
                <w:szCs w:val="20"/>
              </w:rPr>
              <w:t>0</w:t>
            </w:r>
          </w:p>
        </w:tc>
        <w:tc>
          <w:tcPr>
            <w:tcW w:w="855" w:type="dxa"/>
            <w:tcBorders>
              <w:bottom w:val="single" w:color="000000" w:sz="4" w:space="0"/>
              <w:right w:val="single" w:color="000000" w:sz="4" w:space="0"/>
            </w:tcBorders>
            <w:tcMar>
              <w:top w:w="20" w:type="dxa"/>
              <w:left w:w="20" w:type="dxa"/>
              <w:bottom w:w="20" w:type="dxa"/>
              <w:right w:w="20" w:type="dxa"/>
            </w:tcMar>
            <w:vAlign w:val="center"/>
          </w:tcPr>
          <w:p>
            <w:pPr>
              <w:pStyle w:val="8"/>
              <w:spacing w:before="100" w:after="100"/>
              <w:jc w:val="center"/>
              <w:rPr>
                <w:rFonts w:ascii="宋体" w:hAnsi="宋体" w:eastAsia="宋体" w:cs="宋体"/>
                <w:sz w:val="20"/>
                <w:szCs w:val="20"/>
              </w:rPr>
            </w:pPr>
            <w:r>
              <w:rPr>
                <w:rFonts w:hint="eastAsia" w:ascii="宋体" w:hAnsi="宋体" w:eastAsia="宋体" w:cs="宋体"/>
                <w:sz w:val="20"/>
                <w:szCs w:val="20"/>
              </w:rPr>
              <w:t>1436.65</w:t>
            </w:r>
          </w:p>
        </w:tc>
        <w:tc>
          <w:tcPr>
            <w:tcW w:w="705" w:type="dxa"/>
            <w:tcBorders>
              <w:bottom w:val="single" w:color="000000" w:sz="4" w:space="0"/>
              <w:right w:val="single" w:color="000000" w:sz="4" w:space="0"/>
            </w:tcBorders>
            <w:tcMar>
              <w:top w:w="20" w:type="dxa"/>
              <w:left w:w="20" w:type="dxa"/>
              <w:bottom w:w="20" w:type="dxa"/>
              <w:right w:w="20" w:type="dxa"/>
            </w:tcMar>
            <w:vAlign w:val="center"/>
          </w:tcPr>
          <w:p>
            <w:pPr>
              <w:pStyle w:val="8"/>
              <w:spacing w:before="100" w:after="100"/>
              <w:jc w:val="center"/>
              <w:rPr>
                <w:rFonts w:ascii="宋体" w:hAnsi="宋体" w:eastAsia="宋体" w:cs="宋体"/>
                <w:sz w:val="20"/>
                <w:szCs w:val="20"/>
              </w:rPr>
            </w:pPr>
            <w:r>
              <w:rPr>
                <w:rFonts w:hint="eastAsia" w:ascii="宋体" w:hAnsi="宋体" w:eastAsia="宋体" w:cs="宋体"/>
                <w:sz w:val="20"/>
                <w:szCs w:val="20"/>
              </w:rPr>
              <w:t>0</w:t>
            </w:r>
          </w:p>
        </w:tc>
        <w:tc>
          <w:tcPr>
            <w:tcW w:w="284" w:type="dxa"/>
            <w:tcBorders>
              <w:bottom w:val="single" w:color="000000" w:sz="4" w:space="0"/>
              <w:right w:val="single" w:color="000000" w:sz="4" w:space="0"/>
            </w:tcBorders>
            <w:tcMar>
              <w:top w:w="20" w:type="dxa"/>
              <w:left w:w="20" w:type="dxa"/>
              <w:bottom w:w="20" w:type="dxa"/>
              <w:right w:w="20" w:type="dxa"/>
            </w:tcMar>
            <w:vAlign w:val="center"/>
          </w:tcPr>
          <w:p>
            <w:pPr>
              <w:pStyle w:val="8"/>
              <w:tabs>
                <w:tab w:val="center" w:pos="265"/>
                <w:tab w:val="right" w:pos="651"/>
              </w:tabs>
              <w:spacing w:before="100" w:after="100"/>
              <w:jc w:val="center"/>
              <w:rPr>
                <w:rFonts w:ascii="宋体" w:hAnsi="宋体" w:eastAsia="宋体" w:cs="宋体"/>
                <w:sz w:val="20"/>
                <w:szCs w:val="20"/>
              </w:rPr>
            </w:pPr>
            <w:r>
              <w:rPr>
                <w:rFonts w:hint="eastAsia" w:ascii="宋体" w:hAnsi="宋体" w:eastAsia="宋体" w:cs="宋体"/>
                <w:sz w:val="20"/>
                <w:szCs w:val="20"/>
              </w:rPr>
              <w:t>0</w:t>
            </w:r>
          </w:p>
        </w:tc>
      </w:tr>
      <w:tr>
        <w:tblPrEx>
          <w:tblLayout w:type="fixed"/>
          <w:tblCellMar>
            <w:top w:w="15" w:type="dxa"/>
            <w:left w:w="15" w:type="dxa"/>
            <w:bottom w:w="15" w:type="dxa"/>
            <w:right w:w="15" w:type="dxa"/>
          </w:tblCellMar>
        </w:tblPrEx>
        <w:trPr>
          <w:trHeight w:val="501" w:hRule="atLeast"/>
        </w:trPr>
        <w:tc>
          <w:tcPr>
            <w:tcW w:w="7692" w:type="dxa"/>
            <w:gridSpan w:val="11"/>
            <w:tcMar>
              <w:top w:w="20" w:type="dxa"/>
              <w:left w:w="20" w:type="dxa"/>
              <w:bottom w:w="20" w:type="dxa"/>
              <w:right w:w="20" w:type="dxa"/>
            </w:tcMar>
            <w:vAlign w:val="bottom"/>
          </w:tcPr>
          <w:p>
            <w:pPr>
              <w:pStyle w:val="8"/>
              <w:spacing w:before="100" w:after="100"/>
              <w:jc w:val="right"/>
            </w:pPr>
            <w:r>
              <w:rPr>
                <w:rFonts w:ascii="宋体" w:hAnsi="宋体" w:eastAsia="宋体" w:cs="宋体"/>
                <w:sz w:val="24"/>
                <w:szCs w:val="24"/>
              </w:rPr>
              <w:t> </w:t>
            </w:r>
          </w:p>
        </w:tc>
        <w:tc>
          <w:tcPr>
            <w:tcW w:w="705" w:type="dxa"/>
            <w:tcMar>
              <w:top w:w="20" w:type="dxa"/>
              <w:left w:w="20" w:type="dxa"/>
              <w:bottom w:w="20" w:type="dxa"/>
              <w:right w:w="20" w:type="dxa"/>
            </w:tcMar>
            <w:vAlign w:val="bottom"/>
          </w:tcPr>
          <w:p>
            <w:pPr>
              <w:pStyle w:val="8"/>
              <w:spacing w:before="100" w:after="100"/>
              <w:jc w:val="left"/>
            </w:pPr>
            <w:r>
              <w:rPr>
                <w:rFonts w:ascii="宋体" w:hAnsi="宋体" w:eastAsia="宋体" w:cs="宋体"/>
                <w:sz w:val="24"/>
                <w:szCs w:val="24"/>
              </w:rPr>
              <w:t> </w:t>
            </w:r>
          </w:p>
        </w:tc>
        <w:tc>
          <w:tcPr>
            <w:tcW w:w="284" w:type="dxa"/>
            <w:tcMar>
              <w:top w:w="20" w:type="dxa"/>
              <w:left w:w="20" w:type="dxa"/>
              <w:bottom w:w="20" w:type="dxa"/>
              <w:right w:w="20" w:type="dxa"/>
            </w:tcMar>
            <w:vAlign w:val="bottom"/>
          </w:tcPr>
          <w:p>
            <w:pPr>
              <w:pStyle w:val="8"/>
              <w:spacing w:before="100" w:after="100"/>
              <w:jc w:val="left"/>
            </w:pPr>
            <w:r>
              <w:rPr>
                <w:rFonts w:ascii="宋体" w:hAnsi="宋体" w:eastAsia="宋体" w:cs="宋体"/>
                <w:sz w:val="24"/>
                <w:szCs w:val="24"/>
              </w:rPr>
              <w:t> </w:t>
            </w:r>
          </w:p>
        </w:tc>
      </w:tr>
      <w:tr>
        <w:tblPrEx>
          <w:tblLayout w:type="fixed"/>
          <w:tblCellMar>
            <w:top w:w="15" w:type="dxa"/>
            <w:left w:w="15" w:type="dxa"/>
            <w:bottom w:w="15" w:type="dxa"/>
            <w:right w:w="15" w:type="dxa"/>
          </w:tblCellMar>
        </w:tblPrEx>
        <w:trPr>
          <w:trHeight w:val="300" w:hRule="atLeast"/>
        </w:trPr>
        <w:tc>
          <w:tcPr>
            <w:tcW w:w="8681" w:type="dxa"/>
            <w:gridSpan w:val="13"/>
            <w:tcMar>
              <w:top w:w="20" w:type="dxa"/>
              <w:left w:w="20" w:type="dxa"/>
              <w:bottom w:w="20" w:type="dxa"/>
              <w:right w:w="20" w:type="dxa"/>
            </w:tcMar>
            <w:vAlign w:val="bottom"/>
          </w:tcPr>
          <w:p>
            <w:pPr>
              <w:pStyle w:val="8"/>
              <w:spacing w:before="100" w:after="100"/>
              <w:jc w:val="left"/>
            </w:pPr>
            <w:r>
              <w:rPr>
                <w:rFonts w:ascii="仿宋_GB2312" w:hAnsi="仿宋_GB2312" w:eastAsia="仿宋_GB2312" w:cs="仿宋_GB2312"/>
              </w:rPr>
              <w:t>填报说明：1.资产总额＝流动资产＋固定资产＋对外投资／有价证券＋在建工程＋无形资产＋其他资产2.固定资产＝房屋构筑物＋车辆＋单价200万元以上大型设备＋其他固定资产</w:t>
            </w:r>
          </w:p>
        </w:tc>
      </w:tr>
    </w:tbl>
    <w:p>
      <w:pPr>
        <w:spacing w:line="560" w:lineRule="exact"/>
        <w:ind w:firstLine="600"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填报说明：1.资产总额＝流动资产＋固定资产＋对外投资／有价证券＋在建工程＋无形资产＋其他资产2.固定资产＝房屋构筑物＋车辆＋单价200万元以上大型设备＋其他固定资产</w:t>
      </w:r>
    </w:p>
    <w:p>
      <w:pPr>
        <w:pStyle w:val="8"/>
        <w:widowControl/>
        <w:spacing w:before="0" w:beforeLines="0" w:after="0" w:afterLines="0" w:line="590" w:lineRule="atLeast"/>
        <w:ind w:left="0" w:right="0" w:firstLine="600"/>
        <w:jc w:val="left"/>
        <w:rPr>
          <w:rFonts w:ascii="黑体" w:hAnsi="黑体" w:eastAsia="黑体" w:cs="黑体"/>
          <w:color w:val="auto"/>
          <w:kern w:val="0"/>
          <w:sz w:val="30"/>
          <w:szCs w:val="30"/>
        </w:rPr>
      </w:pPr>
      <w:r>
        <w:rPr>
          <w:rFonts w:hint="eastAsia" w:ascii="黑体" w:hAnsi="黑体" w:eastAsia="黑体" w:cs="黑体"/>
          <w:color w:val="auto"/>
          <w:kern w:val="0"/>
          <w:sz w:val="30"/>
          <w:szCs w:val="30"/>
        </w:rPr>
        <w:t>三、政府采购支出情况</w:t>
      </w:r>
    </w:p>
    <w:p>
      <w:pPr>
        <w:pStyle w:val="8"/>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right="0" w:firstLine="601"/>
        <w:jc w:val="left"/>
        <w:textAlignment w:val="auto"/>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2019年度，部门政府采购支出总额32.28万元,其中：政府采购货物支出32.28万元;政府采购工程支出0万元;政府采购服务支出0.00万元;授予中小企业合同金额0万元，占政府采购支出总额的0%。</w:t>
      </w:r>
    </w:p>
    <w:p>
      <w:pPr>
        <w:pStyle w:val="8"/>
        <w:widowControl/>
        <w:spacing w:before="0" w:beforeLines="0" w:after="0" w:afterLines="0" w:line="590" w:lineRule="atLeast"/>
        <w:ind w:left="0" w:right="0" w:firstLine="600"/>
        <w:jc w:val="left"/>
        <w:rPr>
          <w:rFonts w:ascii="黑体" w:hAnsi="黑体" w:eastAsia="黑体" w:cs="黑体"/>
          <w:color w:val="auto"/>
          <w:kern w:val="0"/>
          <w:sz w:val="30"/>
          <w:szCs w:val="30"/>
        </w:rPr>
      </w:pPr>
      <w:r>
        <w:rPr>
          <w:rFonts w:hint="eastAsia" w:ascii="黑体" w:hAnsi="黑体" w:eastAsia="黑体" w:cs="黑体"/>
          <w:color w:val="auto"/>
          <w:kern w:val="0"/>
          <w:sz w:val="30"/>
          <w:szCs w:val="30"/>
        </w:rPr>
        <w:t>四、部门绩效自评情况</w:t>
      </w:r>
    </w:p>
    <w:p>
      <w:pPr>
        <w:spacing w:line="560" w:lineRule="exact"/>
        <w:ind w:firstLine="600" w:firstLineChars="200"/>
        <w:rPr>
          <w:rFonts w:hint="default" w:ascii="仿宋_GB2312" w:hAnsi="仿宋_GB2312" w:eastAsia="仿宋_GB2312" w:cs="仿宋_GB2312"/>
          <w:color w:val="auto"/>
          <w:kern w:val="0"/>
          <w:sz w:val="30"/>
          <w:szCs w:val="30"/>
          <w:lang w:val="en-US" w:eastAsia="zh-CN" w:bidi="ar-SA"/>
        </w:rPr>
      </w:pPr>
      <w:r>
        <w:rPr>
          <w:rFonts w:hint="eastAsia" w:ascii="仿宋_GB2312" w:hAnsi="仿宋_GB2312" w:eastAsia="仿宋_GB2312" w:cs="仿宋_GB2312"/>
          <w:color w:val="auto"/>
          <w:kern w:val="0"/>
          <w:sz w:val="30"/>
          <w:szCs w:val="30"/>
          <w:lang w:val="en-US" w:eastAsia="zh-CN" w:bidi="ar-SA"/>
        </w:rPr>
        <w:t>部门绩效自评情况由一级预算单位即红河州人民检察院编报，已在省财政厅官网公开。</w:t>
      </w:r>
    </w:p>
    <w:p>
      <w:pPr>
        <w:pStyle w:val="8"/>
        <w:widowControl/>
        <w:spacing w:before="0" w:beforeLines="0" w:after="0" w:afterLines="0" w:line="590" w:lineRule="atLeast"/>
        <w:ind w:left="0" w:right="0" w:firstLine="600"/>
        <w:jc w:val="left"/>
        <w:rPr>
          <w:rFonts w:ascii="黑体" w:hAnsi="黑体" w:eastAsia="黑体" w:cs="黑体"/>
          <w:color w:val="auto"/>
          <w:kern w:val="0"/>
          <w:sz w:val="30"/>
          <w:szCs w:val="30"/>
        </w:rPr>
      </w:pPr>
      <w:r>
        <w:rPr>
          <w:rFonts w:hint="eastAsia" w:ascii="黑体" w:hAnsi="黑体" w:eastAsia="黑体" w:cs="黑体"/>
          <w:color w:val="auto"/>
          <w:kern w:val="0"/>
          <w:sz w:val="30"/>
          <w:szCs w:val="30"/>
        </w:rPr>
        <w:t>五、其他重要事项情况说明</w:t>
      </w:r>
      <w:bookmarkStart w:id="0" w:name="_GoBack"/>
      <w:bookmarkEnd w:id="0"/>
    </w:p>
    <w:p>
      <w:pPr>
        <w:pStyle w:val="8"/>
        <w:widowControl/>
        <w:spacing w:before="0" w:beforeLines="0" w:after="0" w:afterLines="0" w:line="590" w:lineRule="atLeast"/>
        <w:ind w:left="0" w:right="0" w:firstLine="600"/>
        <w:jc w:val="left"/>
        <w:rPr>
          <w:rFonts w:hint="eastAsia" w:ascii="仿宋_GB2312" w:hAnsi="仿宋_GB2312" w:eastAsia="仿宋_GB2312" w:cs="仿宋_GB2312"/>
          <w:color w:val="auto"/>
          <w:kern w:val="0"/>
          <w:sz w:val="30"/>
          <w:szCs w:val="30"/>
          <w:lang w:bidi="ar-SA"/>
        </w:rPr>
      </w:pPr>
      <w:r>
        <w:rPr>
          <w:rFonts w:hint="eastAsia" w:ascii="仿宋_GB2312" w:hAnsi="仿宋_GB2312" w:eastAsia="仿宋_GB2312" w:cs="仿宋_GB2312"/>
          <w:color w:val="auto"/>
          <w:kern w:val="0"/>
          <w:sz w:val="30"/>
          <w:szCs w:val="30"/>
          <w:lang w:bidi="ar-SA"/>
        </w:rPr>
        <w:t>无</w:t>
      </w:r>
    </w:p>
    <w:p>
      <w:pPr>
        <w:pStyle w:val="8"/>
        <w:widowControl/>
        <w:spacing w:before="0" w:beforeLines="0" w:after="0" w:afterLines="0" w:line="590" w:lineRule="atLeast"/>
        <w:ind w:left="0" w:right="0" w:firstLine="600"/>
        <w:jc w:val="left"/>
        <w:rPr>
          <w:rFonts w:hint="eastAsia" w:ascii="黑体" w:hAnsi="黑体" w:eastAsia="黑体" w:cs="黑体"/>
          <w:color w:val="auto"/>
          <w:kern w:val="0"/>
          <w:sz w:val="30"/>
          <w:szCs w:val="30"/>
        </w:rPr>
      </w:pPr>
      <w:r>
        <w:rPr>
          <w:rFonts w:hint="eastAsia" w:ascii="黑体" w:hAnsi="黑体" w:eastAsia="黑体" w:cs="黑体"/>
          <w:color w:val="auto"/>
          <w:kern w:val="0"/>
          <w:sz w:val="30"/>
          <w:szCs w:val="30"/>
        </w:rPr>
        <w:t>六、相关口径说明</w:t>
      </w:r>
    </w:p>
    <w:p>
      <w:pPr>
        <w:pStyle w:val="8"/>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right="0" w:firstLine="601"/>
        <w:jc w:val="left"/>
        <w:textAlignment w:val="auto"/>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（一）基本支出中人员经费包括工资福利支出和对个人和家庭的补助，日常公用支出包括商品和服务支出、资本性支出等人员经费以外的支出。</w:t>
      </w:r>
    </w:p>
    <w:p>
      <w:pPr>
        <w:pStyle w:val="8"/>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right="0" w:firstLine="601"/>
        <w:jc w:val="left"/>
        <w:textAlignment w:val="auto"/>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（二）机关运行经费指行政单位和参照公务员法管理的事业单位使用一般公共预算财政拨款安排的基本支出中的日常公用经费支出。</w:t>
      </w:r>
    </w:p>
    <w:p>
      <w:pPr>
        <w:pStyle w:val="8"/>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right="0" w:firstLine="601"/>
        <w:jc w:val="left"/>
        <w:textAlignment w:val="auto"/>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pStyle w:val="8"/>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right="0" w:firstLine="601"/>
        <w:jc w:val="left"/>
        <w:textAlignment w:val="auto"/>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四）“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pStyle w:val="8"/>
        <w:widowControl/>
        <w:spacing w:before="0" w:beforeLines="0" w:after="0" w:afterLines="0" w:line="590" w:lineRule="atLeast"/>
        <w:ind w:left="0" w:right="0"/>
        <w:jc w:val="center"/>
        <w:rPr>
          <w:rFonts w:ascii="黑体" w:hAnsi="黑体" w:eastAsia="黑体" w:cs="黑体"/>
          <w:color w:val="auto"/>
          <w:kern w:val="0"/>
          <w:sz w:val="32"/>
          <w:szCs w:val="32"/>
        </w:rPr>
      </w:pPr>
      <w:r>
        <w:rPr>
          <w:rFonts w:hint="eastAsia" w:ascii="黑体" w:hAnsi="黑体" w:eastAsia="黑体" w:cs="黑体"/>
          <w:color w:val="auto"/>
          <w:kern w:val="0"/>
          <w:sz w:val="32"/>
          <w:szCs w:val="32"/>
        </w:rPr>
        <w:t>第五部分  名词解释</w:t>
      </w:r>
    </w:p>
    <w:p>
      <w:pPr>
        <w:pStyle w:val="8"/>
        <w:widowControl/>
        <w:spacing w:before="0" w:beforeLines="0" w:after="0" w:afterLines="0" w:line="590" w:lineRule="atLeast"/>
        <w:ind w:left="0" w:right="0" w:firstLine="600"/>
        <w:jc w:val="left"/>
        <w:rPr>
          <w:rFonts w:hint="eastAsia" w:ascii="仿宋_GB2312" w:hAnsi="仿宋_GB2312" w:eastAsia="仿宋_GB2312" w:cs="仿宋_GB2312"/>
          <w:color w:val="auto"/>
          <w:kern w:val="0"/>
          <w:sz w:val="30"/>
          <w:szCs w:val="30"/>
          <w:lang w:eastAsia="zh-CN"/>
        </w:rPr>
      </w:pPr>
      <w:r>
        <w:rPr>
          <w:rFonts w:hint="eastAsia" w:ascii="仿宋_GB2312" w:hAnsi="仿宋_GB2312" w:eastAsia="仿宋_GB2312" w:cs="仿宋_GB2312"/>
          <w:color w:val="auto"/>
          <w:kern w:val="0"/>
          <w:sz w:val="30"/>
          <w:szCs w:val="30"/>
          <w:lang w:eastAsia="zh-CN"/>
        </w:rPr>
        <w:t>一、财政拨款收入：指由财政拨款形成的部门收入。按现行管理制度，部门预算中反映的财政拨款包括一般公共预算拨款和政府性基金预算拨款。</w:t>
      </w:r>
    </w:p>
    <w:p>
      <w:pPr>
        <w:pStyle w:val="8"/>
        <w:widowControl/>
        <w:spacing w:before="0" w:beforeLines="0" w:after="0" w:afterLines="0" w:line="590" w:lineRule="atLeast"/>
        <w:ind w:left="0" w:right="0" w:firstLine="600"/>
        <w:jc w:val="left"/>
        <w:rPr>
          <w:rFonts w:hint="eastAsia" w:ascii="仿宋_GB2312" w:hAnsi="仿宋_GB2312" w:eastAsia="仿宋_GB2312" w:cs="仿宋_GB2312"/>
          <w:color w:val="auto"/>
          <w:kern w:val="0"/>
          <w:sz w:val="30"/>
          <w:szCs w:val="30"/>
          <w:lang w:eastAsia="zh-CN"/>
        </w:rPr>
      </w:pPr>
      <w:r>
        <w:rPr>
          <w:rFonts w:hint="eastAsia" w:ascii="仿宋_GB2312" w:hAnsi="仿宋_GB2312" w:eastAsia="仿宋_GB2312" w:cs="仿宋_GB2312"/>
          <w:color w:val="auto"/>
          <w:kern w:val="0"/>
          <w:sz w:val="30"/>
          <w:szCs w:val="30"/>
          <w:lang w:eastAsia="zh-CN"/>
        </w:rPr>
        <w:t>二、基本支出：指为保障机构正常运转、完成日常工作任务而发生的人员经费和日常公用经费。</w:t>
      </w:r>
    </w:p>
    <w:p>
      <w:pPr>
        <w:pStyle w:val="8"/>
        <w:widowControl/>
        <w:spacing w:before="0" w:beforeLines="0" w:after="0" w:afterLines="0" w:line="590" w:lineRule="atLeast"/>
        <w:ind w:left="0" w:right="0" w:firstLine="600"/>
        <w:jc w:val="left"/>
        <w:rPr>
          <w:rFonts w:hint="eastAsia" w:ascii="仿宋_GB2312" w:hAnsi="仿宋_GB2312" w:eastAsia="仿宋_GB2312" w:cs="仿宋_GB2312"/>
          <w:color w:val="auto"/>
          <w:kern w:val="0"/>
          <w:sz w:val="30"/>
          <w:szCs w:val="30"/>
          <w:lang w:eastAsia="zh-CN"/>
        </w:rPr>
      </w:pPr>
      <w:r>
        <w:rPr>
          <w:rFonts w:hint="eastAsia" w:ascii="仿宋_GB2312" w:hAnsi="仿宋_GB2312" w:eastAsia="仿宋_GB2312" w:cs="仿宋_GB2312"/>
          <w:color w:val="auto"/>
          <w:kern w:val="0"/>
          <w:sz w:val="30"/>
          <w:szCs w:val="30"/>
          <w:lang w:eastAsia="zh-CN"/>
        </w:rPr>
        <w:t>三、项目支出：指在基本支出之外为完成特定行政任务和事业发展目标所发生的支出。</w:t>
      </w:r>
    </w:p>
    <w:p>
      <w:pPr>
        <w:pStyle w:val="8"/>
        <w:widowControl/>
        <w:spacing w:before="0" w:beforeLines="0" w:after="0" w:afterLines="0" w:line="590" w:lineRule="atLeast"/>
        <w:ind w:left="0" w:right="0" w:firstLine="600"/>
        <w:jc w:val="left"/>
        <w:rPr>
          <w:rFonts w:hint="eastAsia" w:ascii="仿宋_GB2312" w:hAnsi="仿宋_GB2312" w:eastAsia="仿宋_GB2312" w:cs="仿宋_GB2312"/>
          <w:color w:val="auto"/>
          <w:kern w:val="0"/>
          <w:sz w:val="30"/>
          <w:szCs w:val="30"/>
          <w:lang w:eastAsia="zh-CN"/>
        </w:rPr>
      </w:pPr>
      <w:r>
        <w:rPr>
          <w:rFonts w:hint="eastAsia" w:ascii="仿宋_GB2312" w:hAnsi="仿宋_GB2312" w:eastAsia="仿宋_GB2312" w:cs="仿宋_GB2312"/>
          <w:color w:val="auto"/>
          <w:kern w:val="0"/>
          <w:sz w:val="30"/>
          <w:szCs w:val="30"/>
          <w:lang w:eastAsia="zh-CN"/>
        </w:rPr>
        <w:t>四、公共安全（类）检察（款）：指人民检察院用于保障机构正常运行、开展检察业务工作的支出。</w:t>
      </w:r>
    </w:p>
    <w:p>
      <w:pPr>
        <w:pStyle w:val="8"/>
        <w:widowControl/>
        <w:spacing w:before="0" w:beforeLines="0" w:after="0" w:afterLines="0" w:line="590" w:lineRule="atLeast"/>
        <w:ind w:left="0" w:right="0" w:firstLine="600"/>
        <w:jc w:val="left"/>
        <w:rPr>
          <w:rFonts w:hint="eastAsia" w:ascii="仿宋_GB2312" w:hAnsi="仿宋_GB2312" w:eastAsia="仿宋_GB2312" w:cs="仿宋_GB2312"/>
          <w:color w:val="auto"/>
          <w:kern w:val="0"/>
          <w:sz w:val="30"/>
          <w:szCs w:val="30"/>
          <w:lang w:eastAsia="zh-CN"/>
        </w:rPr>
      </w:pPr>
      <w:r>
        <w:rPr>
          <w:rFonts w:hint="eastAsia" w:ascii="仿宋_GB2312" w:hAnsi="仿宋_GB2312" w:eastAsia="仿宋_GB2312" w:cs="仿宋_GB2312"/>
          <w:color w:val="auto"/>
          <w:kern w:val="0"/>
          <w:sz w:val="30"/>
          <w:szCs w:val="30"/>
          <w:lang w:eastAsia="zh-CN"/>
        </w:rPr>
        <w:t>(1)行政运行（项）：反映人民检察院的基本支出。</w:t>
      </w:r>
    </w:p>
    <w:p>
      <w:pPr>
        <w:pStyle w:val="8"/>
        <w:widowControl/>
        <w:spacing w:before="0" w:beforeLines="0" w:after="0" w:afterLines="0" w:line="590" w:lineRule="atLeast"/>
        <w:ind w:left="0" w:right="0" w:firstLine="600"/>
        <w:jc w:val="left"/>
        <w:rPr>
          <w:rFonts w:hint="eastAsia" w:ascii="仿宋_GB2312" w:hAnsi="仿宋_GB2312" w:eastAsia="仿宋_GB2312" w:cs="仿宋_GB2312"/>
          <w:color w:val="auto"/>
          <w:kern w:val="0"/>
          <w:sz w:val="30"/>
          <w:szCs w:val="30"/>
          <w:lang w:eastAsia="zh-CN"/>
        </w:rPr>
      </w:pPr>
      <w:r>
        <w:rPr>
          <w:rFonts w:hint="eastAsia" w:ascii="仿宋_GB2312" w:hAnsi="仿宋_GB2312" w:eastAsia="仿宋_GB2312" w:cs="仿宋_GB2312"/>
          <w:color w:val="auto"/>
          <w:kern w:val="0"/>
          <w:sz w:val="30"/>
          <w:szCs w:val="30"/>
          <w:lang w:eastAsia="zh-CN"/>
        </w:rPr>
        <w:t>(2)一般行政管理事务：反映人民检察院未单独设置项级科目的其他项目支出。</w:t>
      </w:r>
    </w:p>
    <w:p>
      <w:pPr>
        <w:pStyle w:val="8"/>
        <w:widowControl/>
        <w:spacing w:before="0" w:beforeLines="0" w:after="0" w:afterLines="0" w:line="590" w:lineRule="atLeast"/>
        <w:ind w:left="0" w:right="0" w:firstLine="600"/>
        <w:jc w:val="left"/>
        <w:rPr>
          <w:rFonts w:hint="eastAsia" w:ascii="仿宋_GB2312" w:hAnsi="仿宋_GB2312" w:eastAsia="仿宋_GB2312" w:cs="仿宋_GB2312"/>
          <w:color w:val="auto"/>
          <w:kern w:val="0"/>
          <w:sz w:val="30"/>
          <w:szCs w:val="30"/>
          <w:lang w:eastAsia="zh-CN"/>
        </w:rPr>
      </w:pPr>
      <w:r>
        <w:rPr>
          <w:rFonts w:hint="eastAsia" w:ascii="仿宋_GB2312" w:hAnsi="仿宋_GB2312" w:eastAsia="仿宋_GB2312" w:cs="仿宋_GB2312"/>
          <w:color w:val="auto"/>
          <w:kern w:val="0"/>
          <w:sz w:val="30"/>
          <w:szCs w:val="30"/>
          <w:lang w:eastAsia="zh-CN"/>
        </w:rPr>
        <w:t>(3)“两房”建设（项）：反映人民检察院办案用房和专业技术用房及附属设施的建设和修缮支出。</w:t>
      </w:r>
    </w:p>
    <w:p>
      <w:pPr>
        <w:pStyle w:val="8"/>
        <w:widowControl/>
        <w:spacing w:before="0" w:beforeLines="0" w:after="0" w:afterLines="0" w:line="590" w:lineRule="atLeast"/>
        <w:ind w:left="0" w:right="0" w:firstLine="600"/>
        <w:jc w:val="left"/>
        <w:rPr>
          <w:rFonts w:hint="eastAsia" w:ascii="仿宋_GB2312" w:hAnsi="仿宋_GB2312" w:eastAsia="仿宋_GB2312" w:cs="仿宋_GB2312"/>
          <w:color w:val="auto"/>
          <w:kern w:val="0"/>
          <w:sz w:val="30"/>
          <w:szCs w:val="30"/>
          <w:lang w:eastAsia="zh-CN"/>
        </w:rPr>
      </w:pPr>
      <w:r>
        <w:rPr>
          <w:rFonts w:hint="eastAsia" w:ascii="仿宋_GB2312" w:hAnsi="仿宋_GB2312" w:eastAsia="仿宋_GB2312" w:cs="仿宋_GB2312"/>
          <w:color w:val="auto"/>
          <w:kern w:val="0"/>
          <w:sz w:val="30"/>
          <w:szCs w:val="30"/>
          <w:lang w:eastAsia="zh-CN"/>
        </w:rPr>
        <w:t>(4)其他检察支出（项）：反映上述项目以外其他用于人民检察院方面的支出。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90CBE"/>
    <w:rsid w:val="00043C8D"/>
    <w:rsid w:val="001312C0"/>
    <w:rsid w:val="001D621D"/>
    <w:rsid w:val="002871E5"/>
    <w:rsid w:val="002F6C57"/>
    <w:rsid w:val="003046FD"/>
    <w:rsid w:val="003E5D91"/>
    <w:rsid w:val="006D2131"/>
    <w:rsid w:val="00710B58"/>
    <w:rsid w:val="00771E18"/>
    <w:rsid w:val="00813912"/>
    <w:rsid w:val="00890CBE"/>
    <w:rsid w:val="009B29C9"/>
    <w:rsid w:val="00A356C7"/>
    <w:rsid w:val="00A6060C"/>
    <w:rsid w:val="00AA5A4A"/>
    <w:rsid w:val="00BB5CD8"/>
    <w:rsid w:val="00C81210"/>
    <w:rsid w:val="00DA593A"/>
    <w:rsid w:val="00E05B7E"/>
    <w:rsid w:val="00EA4824"/>
    <w:rsid w:val="00EE49CF"/>
    <w:rsid w:val="00F70067"/>
    <w:rsid w:val="117C3DD3"/>
    <w:rsid w:val="5D077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paragraph" w:customStyle="1" w:styleId="8">
    <w:name w:val="p_MsoNormal"/>
    <w:basedOn w:val="1"/>
    <w:uiPriority w:val="0"/>
    <w:pPr>
      <w:widowControl/>
    </w:pPr>
    <w:rPr>
      <w:rFonts w:ascii="等线" w:hAnsi="等线" w:eastAsia="等线" w:cs="等线"/>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784</Words>
  <Characters>4470</Characters>
  <Lines>37</Lines>
  <Paragraphs>10</Paragraphs>
  <TotalTime>60</TotalTime>
  <ScaleCrop>false</ScaleCrop>
  <LinksUpToDate>false</LinksUpToDate>
  <CharactersWithSpaces>5244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2020-09-26T07:47:00Z</dcterms:created>
  <dc:creator>Administrator</dc:creator>
  <cp:lastModifiedBy>Administrator</cp:lastModifiedBy>
  <dcterms:modified xsi:type="dcterms:W3CDTF">2020-09-27T06:27:09Z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