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简体" w:hAnsi="Times New Roman" w:eastAsia="方正小标宋简体"/>
          <w:sz w:val="36"/>
          <w:szCs w:val="36"/>
        </w:rPr>
      </w:pPr>
      <w:r>
        <w:rPr>
          <w:rFonts w:hint="eastAsia" w:ascii="方正小标宋简体" w:hAnsi="Times New Roman" w:eastAsia="方正小标宋简体"/>
          <w:sz w:val="36"/>
          <w:szCs w:val="36"/>
        </w:rPr>
        <w:t>个旧市人民检察院2019年度部门决算公开说明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720" w:firstLineChars="200"/>
        <w:jc w:val="center"/>
        <w:textAlignment w:val="auto"/>
        <w:rPr>
          <w:rFonts w:ascii="方正小标宋简体" w:hAnsi="Times New Roman" w:eastAsia="方正小标宋简体"/>
          <w:sz w:val="36"/>
          <w:szCs w:val="36"/>
        </w:rPr>
      </w:pPr>
      <w:r>
        <w:rPr>
          <w:rFonts w:hint="eastAsia" w:ascii="方正小标宋简体" w:hAnsi="Times New Roman" w:eastAsia="方正小标宋简体"/>
          <w:sz w:val="36"/>
          <w:szCs w:val="36"/>
        </w:rPr>
        <w:t>目录</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黑体" w:hAnsi="黑体" w:eastAsia="黑体"/>
          <w:sz w:val="30"/>
          <w:szCs w:val="30"/>
        </w:rPr>
      </w:pPr>
      <w:r>
        <w:rPr>
          <w:rFonts w:hint="eastAsia" w:ascii="黑体" w:hAnsi="黑体" w:eastAsia="黑体"/>
          <w:sz w:val="30"/>
          <w:szCs w:val="30"/>
        </w:rPr>
        <w:t>第一部分  个旧市人民检察院概况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一、主要职能</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二、部门基本情况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黑体" w:hAnsi="黑体" w:eastAsia="黑体"/>
          <w:sz w:val="30"/>
          <w:szCs w:val="30"/>
        </w:rPr>
      </w:pPr>
      <w:r>
        <w:rPr>
          <w:rFonts w:hint="eastAsia" w:ascii="黑体" w:hAnsi="黑体" w:eastAsia="黑体"/>
          <w:sz w:val="30"/>
          <w:szCs w:val="30"/>
        </w:rPr>
        <w:t>第二部分  2019年度部门决算表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一、收入支出决算总表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二、收入决算表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三、支出决算表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四、财政拨款收入支出决算总表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五、一般公共预算财政拨款收入支出决算表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六、一般公共预算财政拨款基本支出决算表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七、政府性基金预算财政拨款收入支出决算表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八、“三公”经费、行政参公单位机关运行经费情况表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黑体" w:hAnsi="黑体" w:eastAsia="黑体"/>
          <w:sz w:val="30"/>
          <w:szCs w:val="30"/>
        </w:rPr>
      </w:pPr>
      <w:r>
        <w:rPr>
          <w:rFonts w:hint="eastAsia" w:ascii="黑体" w:hAnsi="黑体" w:eastAsia="黑体"/>
          <w:sz w:val="30"/>
          <w:szCs w:val="30"/>
        </w:rPr>
        <w:t>第三部分  2019年度部门决算情况说明</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一、收入决算情况说明</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二、支出决算情况说明</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三、一般公共预算财政拨款支出决算情况说明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四、一般公共预算财政拨款“三公”经费支出决算情况说明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黑体" w:hAnsi="黑体" w:eastAsia="黑体"/>
          <w:sz w:val="30"/>
          <w:szCs w:val="30"/>
        </w:rPr>
      </w:pPr>
      <w:r>
        <w:rPr>
          <w:rFonts w:hint="eastAsia" w:ascii="黑体" w:hAnsi="黑体" w:eastAsia="黑体"/>
          <w:sz w:val="30"/>
          <w:szCs w:val="30"/>
        </w:rPr>
        <w:t>第四部分  其他重要事项及相关口径情况说明</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一、机关运行经费支出情况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二、国有资产占有情况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三、政府采购支出情况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四、部门绩效自评情况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（一）项目支出绩效自评报告（表）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（二）部门整体支出绩效自评报告</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（三）部门整体支出绩效自评表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五、其他重要事项情况说明</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楷体" w:hAnsi="楷体" w:eastAsia="楷体"/>
          <w:sz w:val="30"/>
          <w:szCs w:val="30"/>
        </w:rPr>
      </w:pPr>
      <w:r>
        <w:rPr>
          <w:rFonts w:hint="eastAsia" w:ascii="楷体" w:hAnsi="楷体" w:eastAsia="楷体"/>
          <w:sz w:val="30"/>
          <w:szCs w:val="30"/>
        </w:rPr>
        <w:t>六、相关口径说明</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黑体" w:hAnsi="黑体" w:eastAsia="黑体"/>
          <w:sz w:val="30"/>
          <w:szCs w:val="30"/>
        </w:rPr>
      </w:pPr>
      <w:r>
        <w:rPr>
          <w:rFonts w:hint="eastAsia" w:ascii="黑体" w:hAnsi="黑体" w:eastAsia="黑体"/>
          <w:sz w:val="30"/>
          <w:szCs w:val="30"/>
        </w:rPr>
        <w:t>第五部分  名词解释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第一部分 个旧市人民检察院概况</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一、主要职能</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（一）主要职能</w:t>
      </w:r>
    </w:p>
    <w:p>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检察机关是国家法律的监督机关，通过行使检察权，对危害国家安全案、危害公共安全案、侵犯公民人身权利民主权利案和其他重大犯罪案件行使检察权；对公安机关侦查的案件进行审查，决定是否逮捕、起诉或者免予起诉；对刑事案件提起公诉、支持公诉；对公安机关、人民法院和监狱、看守所、劳动改造机关的活动是否合法，实行监督。</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（二）2019年度重点工作任务介绍</w:t>
      </w:r>
    </w:p>
    <w:p>
      <w:pPr>
        <w:spacing w:line="560" w:lineRule="exact"/>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认真贯彻落实中央、省委和州委政法工作会议精神，围绕个旧市以资源型城市转型为主线和市委“12536”总体发展思路，坚持以十九大及十九届二中、三中全会精神为统领，深入学习习近平新时代中国特色社会主义思想，坚持党对检察工作的绝对领导，按照“五位一体”总体布局、“四个全面”战略布局，全面深化改革，全面加强检察监督职能，努力为个旧经济社会发展提供有力法治保障，更好地满足人民群众日益增长的美好生活需要。</w:t>
      </w:r>
    </w:p>
    <w:p>
      <w:pPr>
        <w:pStyle w:val="8"/>
        <w:widowControl/>
        <w:spacing w:before="0" w:beforeLines="0" w:after="0" w:afterLines="0" w:line="590" w:lineRule="atLeast"/>
        <w:ind w:left="0" w:right="0" w:firstLine="600"/>
        <w:rPr>
          <w:rFonts w:ascii="黑体" w:hAnsi="黑体" w:eastAsia="黑体" w:cs="黑体"/>
          <w:color w:val="auto"/>
          <w:kern w:val="0"/>
          <w:sz w:val="30"/>
          <w:szCs w:val="30"/>
        </w:rPr>
      </w:pPr>
      <w:r>
        <w:rPr>
          <w:rFonts w:hint="eastAsia" w:ascii="黑体" w:hAnsi="黑体" w:eastAsia="黑体" w:cs="黑体"/>
          <w:color w:val="auto"/>
          <w:kern w:val="0"/>
          <w:sz w:val="30"/>
          <w:szCs w:val="30"/>
        </w:rPr>
        <w:t>二、部门基本情况</w:t>
      </w:r>
    </w:p>
    <w:p>
      <w:pPr>
        <w:pStyle w:val="8"/>
        <w:widowControl/>
        <w:spacing w:before="0" w:beforeLines="0" w:after="0" w:afterLines="0" w:line="590" w:lineRule="atLeast"/>
        <w:ind w:left="0" w:right="0" w:firstLine="600"/>
        <w:rPr>
          <w:rFonts w:ascii="楷体" w:hAnsi="楷体" w:eastAsia="楷体" w:cs="楷体"/>
          <w:color w:val="auto"/>
          <w:kern w:val="0"/>
          <w:sz w:val="30"/>
          <w:szCs w:val="30"/>
        </w:rPr>
      </w:pPr>
      <w:r>
        <w:rPr>
          <w:rFonts w:hint="eastAsia" w:ascii="楷体" w:hAnsi="楷体" w:eastAsia="楷体" w:cs="楷体"/>
          <w:color w:val="auto"/>
          <w:kern w:val="0"/>
          <w:sz w:val="30"/>
          <w:szCs w:val="30"/>
        </w:rPr>
        <w:t>（一）机构情况</w:t>
      </w:r>
    </w:p>
    <w:p>
      <w:pPr>
        <w:spacing w:line="560" w:lineRule="exact"/>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2019年个旧市人民检察院内设8个职能机构，分别是第一检察部、第二检察部、第三检察部、第四检察部、第五检察部、综合业务部、政治部和办公室；另有3个派驻检察室。</w:t>
      </w:r>
    </w:p>
    <w:p>
      <w:pPr>
        <w:pStyle w:val="8"/>
        <w:widowControl/>
        <w:spacing w:before="0" w:beforeLines="0" w:after="0" w:afterLines="0" w:line="590" w:lineRule="atLeast"/>
        <w:ind w:left="0" w:right="0" w:firstLine="600"/>
        <w:rPr>
          <w:rFonts w:hint="eastAsia" w:ascii="楷体" w:hAnsi="楷体" w:eastAsia="楷体" w:cs="楷体"/>
          <w:color w:val="auto"/>
          <w:kern w:val="0"/>
          <w:sz w:val="30"/>
          <w:szCs w:val="30"/>
        </w:rPr>
      </w:pPr>
      <w:r>
        <w:rPr>
          <w:rFonts w:hint="eastAsia" w:ascii="楷体" w:hAnsi="楷体" w:eastAsia="楷体" w:cs="楷体"/>
          <w:color w:val="auto"/>
          <w:kern w:val="0"/>
          <w:sz w:val="30"/>
          <w:szCs w:val="30"/>
        </w:rPr>
        <w:t>（二）部门人员和车辆的编制及实有情况</w:t>
      </w:r>
    </w:p>
    <w:p>
      <w:pPr>
        <w:spacing w:line="560" w:lineRule="exact"/>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个旧市人民检察院2019年末实有人员编制53人。其中：行政编制53人（含行政工勤编制2人），事业编制0人（含参公管理事业编制0人）；在职在编实有行政人员51人（含行政工勤人员1人），事业人员0人（含参公管理事业人员0人）。其他人员19人，主要是聘用制书记员。</w:t>
      </w:r>
    </w:p>
    <w:p>
      <w:pPr>
        <w:spacing w:line="560" w:lineRule="exact"/>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离退休人员26人。其中：离休2人，退休24人。</w:t>
      </w:r>
    </w:p>
    <w:p>
      <w:pPr>
        <w:spacing w:line="560" w:lineRule="exact"/>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实有车辆编制8辆，在编实有车辆8辆。</w:t>
      </w:r>
    </w:p>
    <w:p>
      <w:pPr>
        <w:pStyle w:val="8"/>
        <w:widowControl/>
        <w:spacing w:before="0" w:beforeLines="0" w:after="0" w:afterLines="0" w:line="590" w:lineRule="atLeast"/>
        <w:ind w:left="0" w:right="0"/>
        <w:jc w:val="center"/>
        <w:rPr>
          <w:rFonts w:ascii="黑体" w:hAnsi="黑体" w:eastAsia="黑体" w:cs="黑体"/>
          <w:color w:val="auto"/>
          <w:kern w:val="0"/>
          <w:sz w:val="32"/>
          <w:szCs w:val="32"/>
        </w:rPr>
      </w:pPr>
      <w:r>
        <w:rPr>
          <w:rFonts w:hint="eastAsia" w:ascii="黑体" w:hAnsi="黑体" w:eastAsia="黑体" w:cs="黑体"/>
          <w:color w:val="auto"/>
          <w:kern w:val="0"/>
          <w:sz w:val="32"/>
          <w:szCs w:val="32"/>
        </w:rPr>
        <w:t>第二部分  2019年度部门决算表</w:t>
      </w:r>
    </w:p>
    <w:p>
      <w:pPr>
        <w:pStyle w:val="8"/>
        <w:keepNext w:val="0"/>
        <w:keepLines w:val="0"/>
        <w:pageBreakBefore w:val="0"/>
        <w:widowControl/>
        <w:kinsoku/>
        <w:wordWrap/>
        <w:overflowPunct/>
        <w:topLinePunct w:val="0"/>
        <w:autoSpaceDE/>
        <w:autoSpaceDN/>
        <w:bidi w:val="0"/>
        <w:adjustRightInd/>
        <w:snapToGrid/>
        <w:spacing w:before="100" w:beforeLines="0" w:after="100" w:afterLines="0" w:line="600" w:lineRule="exact"/>
        <w:ind w:right="0" w:firstLine="600" w:firstLineChars="200"/>
        <w:jc w:val="center"/>
        <w:textAlignment w:val="auto"/>
        <w:rPr>
          <w:rFonts w:hint="eastAsia" w:ascii="仿宋_GB2312" w:eastAsia="仿宋_GB2312"/>
          <w:kern w:val="0"/>
          <w:sz w:val="30"/>
          <w:szCs w:val="30"/>
        </w:rPr>
      </w:pPr>
      <w:r>
        <w:rPr>
          <w:rFonts w:hint="eastAsia" w:ascii="仿宋_GB2312" w:eastAsia="仿宋_GB2312"/>
          <w:kern w:val="0"/>
          <w:sz w:val="30"/>
          <w:szCs w:val="30"/>
        </w:rPr>
        <w:t>（详见附件）</w:t>
      </w:r>
    </w:p>
    <w:p>
      <w:pPr>
        <w:pStyle w:val="8"/>
        <w:keepNext w:val="0"/>
        <w:keepLines w:val="0"/>
        <w:pageBreakBefore w:val="0"/>
        <w:widowControl/>
        <w:kinsoku/>
        <w:wordWrap/>
        <w:overflowPunct/>
        <w:topLinePunct w:val="0"/>
        <w:autoSpaceDE/>
        <w:autoSpaceDN/>
        <w:bidi w:val="0"/>
        <w:adjustRightInd/>
        <w:snapToGrid/>
        <w:spacing w:before="100" w:beforeLines="0" w:after="100" w:afterLines="0" w:line="600" w:lineRule="exact"/>
        <w:ind w:right="0" w:firstLine="600" w:firstLineChars="200"/>
        <w:jc w:val="left"/>
        <w:textAlignment w:val="auto"/>
        <w:rPr>
          <w:rFonts w:hint="eastAsia" w:ascii="仿宋_GB2312" w:eastAsia="仿宋_GB2312"/>
          <w:kern w:val="0"/>
          <w:sz w:val="30"/>
          <w:szCs w:val="30"/>
        </w:rPr>
      </w:pPr>
      <w:r>
        <w:rPr>
          <w:rFonts w:hint="eastAsia" w:ascii="仿宋_GB2312" w:eastAsia="仿宋_GB2312"/>
          <w:kern w:val="0"/>
          <w:sz w:val="30"/>
          <w:szCs w:val="30"/>
        </w:rPr>
        <w:t>说明：个旧市人民检察院2019年没有政府性基金收入，也没有使用政府性基金安排的支出，故《政府性基金预算财政拨款收入支出决算表》无数据。</w:t>
      </w:r>
    </w:p>
    <w:p>
      <w:pPr>
        <w:pStyle w:val="8"/>
        <w:widowControl/>
        <w:spacing w:before="0" w:beforeLines="0" w:after="0" w:afterLines="0" w:line="590" w:lineRule="atLeast"/>
        <w:ind w:left="0" w:right="0"/>
        <w:jc w:val="center"/>
        <w:rPr>
          <w:rFonts w:ascii="黑体" w:hAnsi="黑体" w:eastAsia="黑体" w:cs="黑体"/>
          <w:color w:val="auto"/>
          <w:kern w:val="0"/>
          <w:sz w:val="32"/>
          <w:szCs w:val="32"/>
        </w:rPr>
      </w:pPr>
      <w:r>
        <w:rPr>
          <w:rFonts w:hint="eastAsia" w:ascii="黑体" w:hAnsi="黑体" w:eastAsia="黑体" w:cs="黑体"/>
          <w:color w:val="auto"/>
          <w:kern w:val="0"/>
          <w:sz w:val="32"/>
          <w:szCs w:val="32"/>
        </w:rPr>
        <w:t>第三部分  2019年度部门决算情况说明</w:t>
      </w:r>
    </w:p>
    <w:p>
      <w:pPr>
        <w:pStyle w:val="8"/>
        <w:widowControl/>
        <w:spacing w:before="0" w:beforeLines="0" w:after="0" w:afterLines="0" w:line="590" w:lineRule="atLeast"/>
        <w:ind w:left="0" w:right="0" w:firstLine="600"/>
        <w:jc w:val="left"/>
        <w:rPr>
          <w:rFonts w:ascii="黑体" w:hAnsi="黑体" w:eastAsia="黑体" w:cs="黑体"/>
          <w:color w:val="auto"/>
          <w:kern w:val="0"/>
          <w:sz w:val="30"/>
          <w:szCs w:val="30"/>
        </w:rPr>
      </w:pPr>
      <w:r>
        <w:rPr>
          <w:rFonts w:hint="eastAsia" w:ascii="黑体" w:hAnsi="黑体" w:eastAsia="黑体" w:cs="黑体"/>
          <w:color w:val="auto"/>
          <w:kern w:val="0"/>
          <w:sz w:val="30"/>
          <w:szCs w:val="30"/>
        </w:rPr>
        <w:t>一、收入决算情况说明</w:t>
      </w:r>
    </w:p>
    <w:p>
      <w:pPr>
        <w:spacing w:line="560" w:lineRule="exact"/>
        <w:ind w:firstLine="582" w:firstLineChars="200"/>
        <w:rPr>
          <w:rFonts w:hint="eastAsia" w:ascii="仿宋_GB2312" w:hAnsi="仿宋_GB2312" w:eastAsia="仿宋_GB2312" w:cs="仿宋_GB2312"/>
          <w:color w:val="auto"/>
          <w:w w:val="97"/>
          <w:kern w:val="0"/>
          <w:sz w:val="30"/>
          <w:szCs w:val="30"/>
        </w:rPr>
      </w:pPr>
      <w:r>
        <w:rPr>
          <w:rFonts w:hint="eastAsia" w:ascii="仿宋_GB2312" w:hAnsi="仿宋_GB2312" w:eastAsia="仿宋_GB2312" w:cs="仿宋_GB2312"/>
          <w:color w:val="auto"/>
          <w:w w:val="97"/>
          <w:kern w:val="0"/>
          <w:sz w:val="30"/>
          <w:szCs w:val="30"/>
        </w:rPr>
        <w:t>个旧人民检察院2019年度收入合计2,359.63万元。其中：财政拨款收入2,355.20万元，占总收入的99.81%；上级补助收入0.00万元，占总收入的0.00%；事业收入0.00万元，占总收入的0.00%；经营收入0.00万元，占总收入的0.00%；附属单位缴款收入0.00万元，占总收入的0.00%；其他收入4.43万元，占总收入的0.19%。与上年对比，收入合计增加281.49万元，主要原因分析：补助“两房”建设资金收入348万元。</w:t>
      </w:r>
    </w:p>
    <w:p>
      <w:pPr>
        <w:pStyle w:val="8"/>
        <w:widowControl/>
        <w:spacing w:before="0" w:beforeLines="0" w:after="0" w:afterLines="0" w:line="590" w:lineRule="atLeast"/>
        <w:ind w:left="0" w:right="0" w:firstLine="600"/>
        <w:jc w:val="left"/>
        <w:rPr>
          <w:rFonts w:ascii="黑体" w:hAnsi="黑体" w:eastAsia="黑体" w:cs="黑体"/>
          <w:color w:val="auto"/>
          <w:kern w:val="0"/>
          <w:sz w:val="30"/>
          <w:szCs w:val="30"/>
        </w:rPr>
      </w:pPr>
      <w:r>
        <w:rPr>
          <w:rFonts w:hint="eastAsia" w:ascii="黑体" w:hAnsi="黑体" w:eastAsia="黑体" w:cs="黑体"/>
          <w:color w:val="auto"/>
          <w:kern w:val="0"/>
          <w:sz w:val="30"/>
          <w:szCs w:val="30"/>
        </w:rPr>
        <w:t>二、支出决算情况说明</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textAlignment w:val="auto"/>
        <w:rPr>
          <w:rFonts w:hint="eastAsia" w:ascii="仿宋_GB2312" w:hAnsi="仿宋_GB2312" w:eastAsia="仿宋_GB2312" w:cs="仿宋_GB2312"/>
          <w:color w:val="auto"/>
          <w:w w:val="97"/>
          <w:kern w:val="0"/>
          <w:sz w:val="30"/>
          <w:szCs w:val="30"/>
        </w:rPr>
      </w:pPr>
      <w:r>
        <w:rPr>
          <w:rFonts w:hint="eastAsia" w:ascii="仿宋_GB2312" w:hAnsi="仿宋_GB2312" w:eastAsia="仿宋_GB2312" w:cs="仿宋_GB2312"/>
          <w:color w:val="auto"/>
          <w:w w:val="97"/>
          <w:kern w:val="0"/>
          <w:sz w:val="30"/>
          <w:szCs w:val="30"/>
        </w:rPr>
        <w:t>个旧市人民检察院2019年度支出合计2,465.47万元。其中：基本支出1,660.65万元，占总支出的67.36%；项目支出804.82万元，占总支出的32.64%；上缴上级支出、经营支出、对附属单位补助支出共0.00万元，占总支出的0.00%。与上年对比支出合计增加530.02万元。主要原因分析：一是正常人员增加工资以及绩效；二是2019年增加了“两房”建设资金348万元。</w:t>
      </w:r>
    </w:p>
    <w:p>
      <w:pPr>
        <w:pStyle w:val="8"/>
        <w:widowControl/>
        <w:spacing w:before="0" w:beforeLines="0" w:after="0" w:afterLines="0" w:line="590" w:lineRule="atLeast"/>
        <w:ind w:left="0" w:right="0" w:firstLine="600"/>
        <w:jc w:val="left"/>
        <w:rPr>
          <w:rFonts w:ascii="楷体" w:hAnsi="楷体" w:eastAsia="楷体" w:cs="楷体"/>
          <w:color w:val="auto"/>
          <w:kern w:val="0"/>
          <w:sz w:val="30"/>
          <w:szCs w:val="30"/>
        </w:rPr>
      </w:pPr>
      <w:r>
        <w:rPr>
          <w:rFonts w:hint="eastAsia" w:ascii="楷体" w:hAnsi="楷体" w:eastAsia="楷体" w:cs="楷体"/>
          <w:color w:val="auto"/>
          <w:kern w:val="0"/>
          <w:sz w:val="30"/>
          <w:szCs w:val="30"/>
        </w:rPr>
        <w:t>（一）基本支出情况</w:t>
      </w:r>
    </w:p>
    <w:p>
      <w:pPr>
        <w:spacing w:line="56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2019年度用于保障个旧市人民检察院机关机构正常运转的日常支出1,660.65万元。与上年对比增加了79.91万元，主要原因分析是人员经费支出增加（正常调资）。</w:t>
      </w:r>
    </w:p>
    <w:p>
      <w:pPr>
        <w:spacing w:line="560" w:lineRule="exact"/>
        <w:ind w:firstLine="640" w:firstLineChars="200"/>
        <w:rPr>
          <w:rFonts w:hint="eastAsia" w:ascii="仿宋" w:hAnsi="仿宋" w:eastAsia="仿宋" w:cs="仿宋"/>
          <w:color w:val="auto"/>
          <w:kern w:val="0"/>
          <w:sz w:val="30"/>
          <w:szCs w:val="30"/>
          <w:lang w:val="en-US" w:eastAsia="zh-CN"/>
        </w:rPr>
      </w:pPr>
      <w:r>
        <w:rPr>
          <w:rFonts w:hint="eastAsia" w:ascii="Times New Roman" w:hAnsi="Times New Roman" w:eastAsia="仿宋_GB2312"/>
          <w:sz w:val="32"/>
          <w:szCs w:val="32"/>
        </w:rPr>
        <w:t xml:space="preserve"> </w:t>
      </w:r>
      <w:r>
        <w:rPr>
          <w:rFonts w:hint="eastAsia" w:ascii="仿宋" w:hAnsi="仿宋" w:eastAsia="仿宋" w:cs="仿宋"/>
          <w:color w:val="auto"/>
          <w:kern w:val="0"/>
          <w:sz w:val="30"/>
          <w:szCs w:val="30"/>
          <w:lang w:val="en-US" w:eastAsia="zh-CN"/>
        </w:rPr>
        <w:t>(二）项目支出情况</w:t>
      </w:r>
    </w:p>
    <w:p>
      <w:pPr>
        <w:spacing w:line="560" w:lineRule="exact"/>
        <w:ind w:firstLine="600" w:firstLineChars="200"/>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2019年度用于保障个旧人民检察院机构完成特定的行政工作任务或事业发展目标，用于专项业务工作的经费支出804.82万元。与上年对比增加了450.12万元，主要原因分析是2019年增加了“两房”建设资金。具体项目开支及开展工作情况为：一是依法打击刑事犯罪，积极推进平安个旧建设；二是强化法律监督，维护司法公正；三是不断加强自身建设，提高司法公信力；四是支付“两房”建设工程款。</w:t>
      </w:r>
    </w:p>
    <w:p>
      <w:pPr>
        <w:pStyle w:val="8"/>
        <w:widowControl/>
        <w:spacing w:before="0" w:beforeLines="0" w:after="0" w:afterLines="0" w:line="590" w:lineRule="atLeast"/>
        <w:ind w:left="0" w:right="0" w:firstLine="600"/>
        <w:jc w:val="left"/>
        <w:rPr>
          <w:rFonts w:ascii="黑体" w:hAnsi="黑体" w:eastAsia="黑体" w:cs="黑体"/>
          <w:color w:val="auto"/>
          <w:kern w:val="0"/>
          <w:sz w:val="30"/>
          <w:szCs w:val="30"/>
        </w:rPr>
      </w:pPr>
      <w:r>
        <w:rPr>
          <w:rFonts w:hint="eastAsia" w:ascii="黑体" w:hAnsi="黑体" w:eastAsia="黑体" w:cs="黑体"/>
          <w:color w:val="auto"/>
          <w:kern w:val="0"/>
          <w:sz w:val="30"/>
          <w:szCs w:val="30"/>
        </w:rPr>
        <w:t>三、一般公共预算财政拨款支出决算情况说明</w:t>
      </w:r>
    </w:p>
    <w:p>
      <w:pPr>
        <w:spacing w:line="560" w:lineRule="exact"/>
        <w:ind w:firstLine="600" w:firstLineChars="200"/>
        <w:rPr>
          <w:rFonts w:ascii="楷体" w:hAnsi="楷体" w:eastAsia="楷体" w:cs="楷体"/>
          <w:color w:val="auto"/>
          <w:kern w:val="0"/>
          <w:sz w:val="30"/>
          <w:szCs w:val="30"/>
        </w:rPr>
      </w:pPr>
      <w:r>
        <w:rPr>
          <w:rFonts w:hint="eastAsia" w:ascii="楷体" w:hAnsi="楷体" w:eastAsia="楷体" w:cs="楷体"/>
          <w:color w:val="auto"/>
          <w:kern w:val="0"/>
          <w:sz w:val="30"/>
          <w:szCs w:val="30"/>
        </w:rPr>
        <w:t>（一）一般公共预算财政拨款支出决算总体情况</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jc w:val="left"/>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个旧市人民检察院2019年度一般公共预算财政拨款支出2,447.08万元,占本年支出合计的99.25%。与上年对比增加了562.67万元，主要原因分析：一是正常的增加工资和绩效；二是2019年增加了“两房”建设资金。</w:t>
      </w:r>
    </w:p>
    <w:p>
      <w:pPr>
        <w:spacing w:line="560" w:lineRule="exact"/>
        <w:ind w:firstLine="600" w:firstLineChars="200"/>
        <w:rPr>
          <w:rFonts w:ascii="楷体" w:hAnsi="楷体" w:eastAsia="楷体" w:cs="楷体"/>
          <w:color w:val="auto"/>
          <w:kern w:val="0"/>
          <w:sz w:val="30"/>
          <w:szCs w:val="30"/>
        </w:rPr>
      </w:pPr>
      <w:r>
        <w:rPr>
          <w:rFonts w:hint="eastAsia" w:ascii="楷体" w:hAnsi="楷体" w:eastAsia="楷体" w:cs="楷体"/>
          <w:color w:val="auto"/>
          <w:kern w:val="0"/>
          <w:sz w:val="30"/>
          <w:szCs w:val="30"/>
        </w:rPr>
        <w:t>（二）一般公共预算财政拨款支出决算具体情况</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jc w:val="left"/>
        <w:textAlignment w:val="auto"/>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1.公共安全（类）支出2,163.14万元，占一般公共预算财政拨款总支出的88.40%。主要用于个旧市检察各项工作支出，包括人员经费和开展检察业务经费。</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jc w:val="left"/>
        <w:textAlignment w:val="auto"/>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2.社会保障和就业（类）支出96.75万元，占一般公共预算财政拨款总支出的3.95%。主要用于个旧市检察院基本养老保险和职业年金缴费支出。</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jc w:val="left"/>
        <w:textAlignment w:val="auto"/>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3.卫生健康（类）支出100.78万元，占一般公共预算财政拨款总支出的4.12%。主要用于个旧市检察院基本医疗保障缴费、公务员医疗补助经费、其他基本医疗保险基金支出。</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jc w:val="left"/>
        <w:textAlignment w:val="auto"/>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4.住房保障（类）支出86.41万元，占一般公共预算财政拨款总支出的3.53%。主要用于个旧市检察院住房公积金缴存支出。</w:t>
      </w:r>
    </w:p>
    <w:p>
      <w:pPr>
        <w:pStyle w:val="8"/>
        <w:widowControl/>
        <w:spacing w:before="0" w:beforeLines="0" w:after="0" w:afterLines="0" w:line="590" w:lineRule="atLeast"/>
        <w:ind w:left="0" w:right="0" w:firstLine="600"/>
        <w:jc w:val="left"/>
        <w:rPr>
          <w:rFonts w:ascii="黑体" w:hAnsi="黑体" w:eastAsia="黑体" w:cs="黑体"/>
          <w:color w:val="auto"/>
          <w:kern w:val="0"/>
          <w:sz w:val="30"/>
          <w:szCs w:val="30"/>
        </w:rPr>
      </w:pPr>
      <w:r>
        <w:rPr>
          <w:rFonts w:hint="eastAsia" w:ascii="黑体" w:hAnsi="黑体" w:eastAsia="黑体" w:cs="黑体"/>
          <w:color w:val="auto"/>
          <w:kern w:val="0"/>
          <w:sz w:val="30"/>
          <w:szCs w:val="30"/>
        </w:rPr>
        <w:t>四、一般公共预算财政拨款“三公”经费支出决算情况说明</w:t>
      </w:r>
    </w:p>
    <w:p>
      <w:pPr>
        <w:pStyle w:val="8"/>
        <w:widowControl/>
        <w:spacing w:before="0" w:beforeLines="0" w:after="0" w:afterLines="0" w:line="590" w:lineRule="atLeast"/>
        <w:ind w:left="0" w:right="0" w:firstLine="600"/>
        <w:jc w:val="left"/>
        <w:rPr>
          <w:rFonts w:ascii="楷体" w:hAnsi="楷体" w:eastAsia="楷体" w:cs="楷体"/>
          <w:color w:val="auto"/>
          <w:kern w:val="0"/>
          <w:sz w:val="30"/>
          <w:szCs w:val="30"/>
        </w:rPr>
      </w:pPr>
      <w:r>
        <w:rPr>
          <w:rFonts w:hint="eastAsia" w:ascii="楷体" w:hAnsi="楷体" w:eastAsia="楷体" w:cs="楷体"/>
          <w:color w:val="auto"/>
          <w:kern w:val="0"/>
          <w:sz w:val="30"/>
          <w:szCs w:val="30"/>
        </w:rPr>
        <w:t>(一)一般公共预算财政拨款“三公”经费支出决算总体情况</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个旧人民检察院2019年度一般公共预算财政拨款“三公”经费支出预算为28.8万元，支出决算为22.04万元，完成预算的56%。其中：因公出国（境）费支出决算为0.00万元；公务用车购置及运行费支出决算为276.53万元，完成预算的73.54%；公务接待费支出决算为26.95万元，完成预算的16.24%。2019年度一般公共预算财政拨款“三公”经费支出决算数小于预算数的主要原因：一是在做部门预算时主要参照以前年度三公经费支出情况和下一年度工作计划进行“三公”经费预算，存在预算不够准确的情况；二是在预算执行过程中按照厉行节约的要求，严格执行“三公”经费支出的相关要求，加强单位内控制度建设和执行。</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2019年度一般公共预算财政拨款“三公”经费支出决算数比2018年减少1.67万元，下降7.05%。其中：因公出国（境）费支出决算减少0.00万元；公务用车购置及运行费支出决算减少1.12万元，下降4.84%；公务接待费支出决算增减少0.55万元，下降100%。2019年度一般公共预算财政拨款“三公”经费支出决算减少的主要原因是我院继续贯彻落实中央八项规定、《党政机关厉行节约反对浪费条例》、《党政机关国内公务接待管理规定》等文件精神，依法规范支出管理，全面压缩“三公”经费，努力降低公务活动成本以及车辆运行费用。</w:t>
      </w:r>
    </w:p>
    <w:p>
      <w:pPr>
        <w:pStyle w:val="8"/>
        <w:widowControl/>
        <w:spacing w:before="0" w:beforeLines="0" w:after="0" w:afterLines="0" w:line="590" w:lineRule="atLeast"/>
        <w:ind w:left="0" w:right="0" w:firstLine="600"/>
        <w:rPr>
          <w:rFonts w:ascii="楷体" w:hAnsi="楷体" w:eastAsia="楷体" w:cs="楷体"/>
          <w:color w:val="auto"/>
          <w:kern w:val="0"/>
          <w:sz w:val="30"/>
          <w:szCs w:val="30"/>
        </w:rPr>
      </w:pPr>
      <w:r>
        <w:rPr>
          <w:rFonts w:hint="eastAsia" w:ascii="楷体" w:hAnsi="楷体" w:eastAsia="楷体" w:cs="楷体"/>
          <w:color w:val="auto"/>
          <w:kern w:val="0"/>
          <w:sz w:val="30"/>
          <w:szCs w:val="30"/>
        </w:rPr>
        <w:t>(二)一般公共预算财政拨款“三公”经费支出决算具体情况</w:t>
      </w:r>
    </w:p>
    <w:p>
      <w:pPr>
        <w:pStyle w:val="8"/>
        <w:widowControl/>
        <w:spacing w:before="0" w:beforeLines="0" w:after="0" w:afterLines="0" w:line="590" w:lineRule="atLeast"/>
        <w:ind w:left="0" w:right="0" w:firstLine="6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2019年度一般公共预算财政拨款“三公”经费支出决算中，因公出国（境）费支出0.00万元；公务用车购置及运行维护费支出22.04万元，占100%；公务接待费支出0万元。具体情况如下：</w:t>
      </w:r>
    </w:p>
    <w:p>
      <w:pPr>
        <w:spacing w:line="560" w:lineRule="exact"/>
        <w:ind w:firstLine="602" w:firstLineChars="200"/>
        <w:rPr>
          <w:rFonts w:ascii="Times New Roman" w:hAnsi="Times New Roman" w:eastAsia="仿宋_GB2312"/>
          <w:sz w:val="32"/>
          <w:szCs w:val="32"/>
        </w:rPr>
      </w:pPr>
      <w:r>
        <w:rPr>
          <w:rFonts w:hint="eastAsia" w:ascii="仿宋_GB2312" w:hAnsi="仿宋_GB2312" w:eastAsia="仿宋_GB2312" w:cs="仿宋_GB2312"/>
          <w:b/>
          <w:bCs/>
          <w:color w:val="auto"/>
          <w:kern w:val="0"/>
          <w:sz w:val="30"/>
          <w:szCs w:val="30"/>
        </w:rPr>
        <w:t>1.因公出国（境）费</w:t>
      </w:r>
      <w:r>
        <w:rPr>
          <w:rFonts w:hint="eastAsia" w:ascii="仿宋_GB2312" w:hAnsi="仿宋_GB2312" w:eastAsia="仿宋_GB2312" w:cs="仿宋_GB2312"/>
          <w:color w:val="auto"/>
          <w:kern w:val="0"/>
          <w:sz w:val="30"/>
          <w:szCs w:val="30"/>
        </w:rPr>
        <w:t>支出0.00万元，共安排因公出国（境）团组0个，累计0人次。</w:t>
      </w:r>
    </w:p>
    <w:p>
      <w:pPr>
        <w:spacing w:line="560" w:lineRule="exact"/>
        <w:ind w:firstLine="602" w:firstLineChars="200"/>
        <w:rPr>
          <w:rFonts w:ascii="Times New Roman" w:hAnsi="Times New Roman" w:eastAsia="仿宋_GB2312"/>
          <w:sz w:val="32"/>
          <w:szCs w:val="32"/>
        </w:rPr>
      </w:pPr>
      <w:r>
        <w:rPr>
          <w:rFonts w:hint="eastAsia" w:ascii="仿宋_GB2312" w:hAnsi="仿宋_GB2312" w:eastAsia="仿宋_GB2312" w:cs="仿宋_GB2312"/>
          <w:b/>
          <w:bCs/>
          <w:color w:val="auto"/>
          <w:kern w:val="0"/>
          <w:sz w:val="30"/>
          <w:szCs w:val="30"/>
        </w:rPr>
        <w:t>2.公务用车购置及运行维护费</w:t>
      </w:r>
      <w:r>
        <w:rPr>
          <w:rFonts w:hint="eastAsia" w:ascii="仿宋_GB2312" w:hAnsi="仿宋_GB2312" w:eastAsia="仿宋_GB2312" w:cs="仿宋_GB2312"/>
          <w:color w:val="auto"/>
          <w:kern w:val="0"/>
          <w:sz w:val="30"/>
          <w:szCs w:val="30"/>
        </w:rPr>
        <w:t>支出22.04万元。其中：</w:t>
      </w:r>
    </w:p>
    <w:p>
      <w:pPr>
        <w:spacing w:line="560" w:lineRule="exact"/>
        <w:ind w:firstLine="602"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公务用车购置</w:t>
      </w:r>
      <w:r>
        <w:rPr>
          <w:rFonts w:hint="eastAsia" w:ascii="仿宋_GB2312" w:hAnsi="仿宋_GB2312" w:eastAsia="仿宋_GB2312" w:cs="仿宋_GB2312"/>
          <w:color w:val="auto"/>
          <w:kern w:val="0"/>
          <w:sz w:val="30"/>
          <w:szCs w:val="30"/>
        </w:rPr>
        <w:t>支出0万元。公务用车运行维护支出22.04万元，开支财政拨款的公务用车保有量为8辆。主要用于司法办案工作中所需车辆燃料费、维修费、过路过桥费、保险费等。</w:t>
      </w:r>
    </w:p>
    <w:p>
      <w:pPr>
        <w:spacing w:line="560" w:lineRule="exact"/>
        <w:ind w:firstLine="602" w:firstLineChars="200"/>
        <w:rPr>
          <w:rFonts w:ascii="Times New Roman" w:hAnsi="Times New Roman" w:eastAsia="仿宋_GB2312"/>
          <w:sz w:val="32"/>
          <w:szCs w:val="32"/>
        </w:rPr>
      </w:pPr>
      <w:r>
        <w:rPr>
          <w:rFonts w:hint="eastAsia" w:ascii="仿宋_GB2312" w:hAnsi="仿宋_GB2312" w:eastAsia="仿宋_GB2312" w:cs="仿宋_GB2312"/>
          <w:b/>
          <w:bCs/>
          <w:color w:val="auto"/>
          <w:kern w:val="0"/>
          <w:sz w:val="30"/>
          <w:szCs w:val="30"/>
        </w:rPr>
        <w:t>3.公务接待费</w:t>
      </w:r>
      <w:r>
        <w:rPr>
          <w:rFonts w:hint="eastAsia" w:ascii="仿宋_GB2312" w:hAnsi="仿宋_GB2312" w:eastAsia="仿宋_GB2312" w:cs="仿宋_GB2312"/>
          <w:color w:val="auto"/>
          <w:kern w:val="0"/>
          <w:sz w:val="30"/>
          <w:szCs w:val="30"/>
        </w:rPr>
        <w:t>支出0万元。其中：</w:t>
      </w:r>
    </w:p>
    <w:p>
      <w:pPr>
        <w:spacing w:line="560" w:lineRule="exact"/>
        <w:ind w:firstLine="602" w:firstLineChars="200"/>
        <w:rPr>
          <w:rFonts w:ascii="Times New Roman" w:hAnsi="Times New Roman" w:eastAsia="仿宋_GB2312"/>
          <w:sz w:val="32"/>
          <w:szCs w:val="32"/>
        </w:rPr>
      </w:pPr>
      <w:r>
        <w:rPr>
          <w:rFonts w:hint="eastAsia" w:ascii="仿宋_GB2312" w:hAnsi="仿宋_GB2312" w:eastAsia="仿宋_GB2312" w:cs="仿宋_GB2312"/>
          <w:b/>
          <w:bCs/>
          <w:color w:val="auto"/>
          <w:kern w:val="0"/>
          <w:sz w:val="30"/>
          <w:szCs w:val="30"/>
        </w:rPr>
        <w:t>国内接待费</w:t>
      </w:r>
      <w:r>
        <w:rPr>
          <w:rFonts w:hint="eastAsia" w:ascii="仿宋_GB2312" w:hAnsi="仿宋_GB2312" w:eastAsia="仿宋_GB2312" w:cs="仿宋_GB2312"/>
          <w:color w:val="auto"/>
          <w:kern w:val="0"/>
          <w:sz w:val="30"/>
          <w:szCs w:val="30"/>
        </w:rPr>
        <w:t>支出0万元</w:t>
      </w:r>
      <w:r>
        <w:rPr>
          <w:rFonts w:hint="eastAsia" w:ascii="Times New Roman" w:hAnsi="Times New Roman" w:eastAsia="仿宋_GB2312"/>
          <w:sz w:val="32"/>
          <w:szCs w:val="32"/>
        </w:rPr>
        <w:t>。</w:t>
      </w:r>
    </w:p>
    <w:p>
      <w:pPr>
        <w:spacing w:line="560" w:lineRule="exact"/>
        <w:ind w:firstLine="602"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国（境）外接待费</w:t>
      </w:r>
      <w:r>
        <w:rPr>
          <w:rFonts w:hint="eastAsia" w:ascii="仿宋_GB2312" w:hAnsi="仿宋_GB2312" w:eastAsia="仿宋_GB2312" w:cs="仿宋_GB2312"/>
          <w:color w:val="auto"/>
          <w:kern w:val="0"/>
          <w:sz w:val="30"/>
          <w:szCs w:val="30"/>
        </w:rPr>
        <w:t>支出0万元，共安排国（境）外公务接待0批次，接待人次0人。</w:t>
      </w:r>
    </w:p>
    <w:p>
      <w:pPr>
        <w:pStyle w:val="8"/>
        <w:widowControl/>
        <w:spacing w:before="0" w:beforeLines="0" w:after="0" w:afterLines="0" w:line="590" w:lineRule="atLeast"/>
        <w:ind w:left="0" w:right="0" w:firstLine="640"/>
        <w:jc w:val="center"/>
        <w:rPr>
          <w:rFonts w:ascii="黑体" w:hAnsi="黑体" w:eastAsia="黑体" w:cs="黑体"/>
          <w:color w:val="auto"/>
          <w:kern w:val="0"/>
          <w:sz w:val="32"/>
          <w:szCs w:val="32"/>
        </w:rPr>
      </w:pPr>
      <w:r>
        <w:rPr>
          <w:rFonts w:hint="eastAsia" w:ascii="黑体" w:hAnsi="黑体" w:eastAsia="黑体" w:cs="黑体"/>
          <w:color w:val="auto"/>
          <w:kern w:val="0"/>
          <w:sz w:val="32"/>
          <w:szCs w:val="32"/>
        </w:rPr>
        <w:t>第四部分  其他重要事项及相关口径情况说明</w:t>
      </w:r>
    </w:p>
    <w:p>
      <w:pPr>
        <w:pStyle w:val="8"/>
        <w:widowControl/>
        <w:spacing w:before="0" w:beforeLines="0" w:after="0" w:afterLines="0" w:line="590" w:lineRule="atLeast"/>
        <w:ind w:left="0" w:right="0" w:firstLine="640"/>
        <w:jc w:val="both"/>
        <w:rPr>
          <w:rFonts w:ascii="黑体" w:hAnsi="黑体" w:eastAsia="黑体" w:cs="黑体"/>
          <w:color w:val="auto"/>
          <w:kern w:val="0"/>
          <w:sz w:val="32"/>
          <w:szCs w:val="32"/>
        </w:rPr>
      </w:pPr>
      <w:r>
        <w:rPr>
          <w:rFonts w:hint="eastAsia" w:ascii="黑体" w:hAnsi="黑体" w:eastAsia="黑体" w:cs="黑体"/>
          <w:color w:val="auto"/>
          <w:kern w:val="0"/>
          <w:sz w:val="32"/>
          <w:szCs w:val="32"/>
        </w:rPr>
        <w:t>一、机关运行经费支出情况</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textAlignment w:val="auto"/>
        <w:rPr>
          <w:rFonts w:hint="eastAsia" w:ascii="仿宋_GB2312" w:hAnsi="仿宋_GB2312" w:eastAsia="仿宋_GB2312" w:cs="仿宋_GB2312"/>
          <w:color w:val="auto"/>
          <w:w w:val="97"/>
          <w:kern w:val="0"/>
          <w:sz w:val="30"/>
          <w:szCs w:val="30"/>
        </w:rPr>
      </w:pPr>
      <w:r>
        <w:rPr>
          <w:rFonts w:hint="eastAsia" w:ascii="仿宋_GB2312" w:hAnsi="仿宋_GB2312" w:eastAsia="仿宋_GB2312" w:cs="仿宋_GB2312"/>
          <w:color w:val="auto"/>
          <w:w w:val="97"/>
          <w:kern w:val="0"/>
          <w:sz w:val="30"/>
          <w:szCs w:val="30"/>
        </w:rPr>
        <w:t>个旧市人民检察院2019年机关运行经费支出142.13万元，与上年对比下降了18.97%，主要原因分析：加强了资金支出的预算和审批，确实将厉行节约体现在工作中。部门机关运行经费主要用于日常办公办案用品购买支出、检查工作宣传等产生的印刷费、水电费、物业管理费、车辆运行维护费、维修维护费及车补发放等。</w:t>
      </w:r>
    </w:p>
    <w:p>
      <w:pPr>
        <w:pStyle w:val="8"/>
        <w:widowControl/>
        <w:spacing w:before="0" w:beforeLines="0" w:after="0" w:afterLines="0" w:line="590" w:lineRule="atLeast"/>
        <w:ind w:left="0" w:right="0" w:firstLine="600"/>
        <w:jc w:val="left"/>
        <w:rPr>
          <w:rFonts w:ascii="黑体" w:hAnsi="黑体" w:eastAsia="黑体" w:cs="黑体"/>
          <w:color w:val="auto"/>
          <w:kern w:val="0"/>
          <w:sz w:val="30"/>
          <w:szCs w:val="30"/>
        </w:rPr>
      </w:pPr>
      <w:r>
        <w:rPr>
          <w:rFonts w:hint="eastAsia" w:ascii="黑体" w:hAnsi="黑体" w:eastAsia="黑体" w:cs="黑体"/>
          <w:color w:val="auto"/>
          <w:kern w:val="0"/>
          <w:sz w:val="30"/>
          <w:szCs w:val="30"/>
        </w:rPr>
        <w:t>二、国有资产占用情况</w:t>
      </w:r>
    </w:p>
    <w:p>
      <w:pPr>
        <w:spacing w:line="56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截至2019年12月31日，个旧市人民检察院资产总额3,168.64万元，其中，流动资产77.15万元，固定资产1,654.84万元，对外投资及有价证券0.00万元，在建工程1,436.65万元，无形资产0万元，其他资产0.00万元（具体内容详见附表）。与上年相比，本年资产总额增加1,465.96万元，其中;流动资产减少75.83万元，固定资产增加105.14万元,对外投资及有价证券0.00万元，在建工程增加1,436.65万元，无形资产0万元，其他资产0.00万元。</w:t>
      </w:r>
    </w:p>
    <w:p>
      <w:pPr>
        <w:spacing w:line="560" w:lineRule="exact"/>
        <w:ind w:firstLine="600" w:firstLineChars="200"/>
        <w:rPr>
          <w:rFonts w:hint="eastAsia" w:ascii="仿宋_GB2312" w:hAnsi="仿宋_GB2312" w:eastAsia="仿宋_GB2312" w:cs="仿宋_GB2312"/>
          <w:color w:val="auto"/>
          <w:kern w:val="0"/>
          <w:sz w:val="30"/>
          <w:szCs w:val="30"/>
        </w:rPr>
      </w:pPr>
    </w:p>
    <w:p>
      <w:pPr>
        <w:spacing w:line="560" w:lineRule="exact"/>
        <w:ind w:firstLine="600" w:firstLineChars="200"/>
        <w:rPr>
          <w:rFonts w:hint="eastAsia" w:ascii="仿宋_GB2312" w:hAnsi="仿宋_GB2312" w:eastAsia="仿宋_GB2312" w:cs="仿宋_GB2312"/>
          <w:color w:val="auto"/>
          <w:kern w:val="0"/>
          <w:sz w:val="30"/>
          <w:szCs w:val="30"/>
        </w:rPr>
      </w:pPr>
    </w:p>
    <w:tbl>
      <w:tblPr>
        <w:tblStyle w:val="4"/>
        <w:tblW w:w="8681" w:type="dxa"/>
        <w:tblInd w:w="113" w:type="dxa"/>
        <w:tblLayout w:type="fixed"/>
        <w:tblCellMar>
          <w:top w:w="15" w:type="dxa"/>
          <w:left w:w="15" w:type="dxa"/>
          <w:bottom w:w="15" w:type="dxa"/>
          <w:right w:w="15" w:type="dxa"/>
        </w:tblCellMar>
      </w:tblPr>
      <w:tblGrid>
        <w:gridCol w:w="309"/>
        <w:gridCol w:w="302"/>
        <w:gridCol w:w="902"/>
        <w:gridCol w:w="839"/>
        <w:gridCol w:w="990"/>
        <w:gridCol w:w="975"/>
        <w:gridCol w:w="930"/>
        <w:gridCol w:w="435"/>
        <w:gridCol w:w="810"/>
        <w:gridCol w:w="345"/>
        <w:gridCol w:w="855"/>
        <w:gridCol w:w="705"/>
        <w:gridCol w:w="284"/>
      </w:tblGrid>
      <w:tr>
        <w:tblPrEx>
          <w:tblLayout w:type="fixed"/>
          <w:tblCellMar>
            <w:top w:w="15" w:type="dxa"/>
            <w:left w:w="15" w:type="dxa"/>
            <w:bottom w:w="15" w:type="dxa"/>
            <w:right w:w="15" w:type="dxa"/>
          </w:tblCellMar>
        </w:tblPrEx>
        <w:trPr>
          <w:trHeight w:val="390" w:hRule="atLeast"/>
        </w:trPr>
        <w:tc>
          <w:tcPr>
            <w:tcW w:w="8681" w:type="dxa"/>
            <w:gridSpan w:val="13"/>
            <w:shd w:val="clear" w:color="auto" w:fill="FFFFFF"/>
            <w:tcMar>
              <w:top w:w="20" w:type="dxa"/>
              <w:left w:w="20" w:type="dxa"/>
              <w:bottom w:w="20" w:type="dxa"/>
              <w:right w:w="20" w:type="dxa"/>
            </w:tcMar>
            <w:vAlign w:val="center"/>
          </w:tcPr>
          <w:p>
            <w:pPr>
              <w:pStyle w:val="8"/>
              <w:spacing w:before="100" w:after="100"/>
              <w:jc w:val="center"/>
            </w:pPr>
            <w:r>
              <w:rPr>
                <w:rFonts w:ascii="仿宋_GB2312" w:hAnsi="仿宋_GB2312" w:eastAsia="仿宋_GB2312" w:cs="仿宋_GB2312"/>
                <w:b/>
                <w:bCs/>
                <w:sz w:val="30"/>
                <w:szCs w:val="30"/>
              </w:rPr>
              <w:t>国有资产占有使用情况表</w:t>
            </w:r>
          </w:p>
        </w:tc>
      </w:tr>
      <w:tr>
        <w:tblPrEx>
          <w:tblLayout w:type="fixed"/>
          <w:tblCellMar>
            <w:top w:w="15" w:type="dxa"/>
            <w:left w:w="15" w:type="dxa"/>
            <w:bottom w:w="15" w:type="dxa"/>
            <w:right w:w="15" w:type="dxa"/>
          </w:tblCellMar>
        </w:tblPrEx>
        <w:trPr>
          <w:trHeight w:val="270" w:hRule="atLeast"/>
        </w:trPr>
        <w:tc>
          <w:tcPr>
            <w:tcW w:w="5682" w:type="dxa"/>
            <w:gridSpan w:val="8"/>
            <w:tcBorders>
              <w:bottom w:val="single" w:color="000000" w:sz="4" w:space="0"/>
            </w:tcBorders>
            <w:shd w:val="clear" w:color="auto" w:fill="FFFFFF"/>
            <w:tcMar>
              <w:top w:w="20" w:type="dxa"/>
              <w:left w:w="20" w:type="dxa"/>
              <w:bottom w:w="20" w:type="dxa"/>
              <w:right w:w="20" w:type="dxa"/>
            </w:tcMar>
            <w:vAlign w:val="center"/>
          </w:tcPr>
          <w:p>
            <w:pPr>
              <w:pStyle w:val="8"/>
              <w:spacing w:before="100" w:after="100"/>
              <w:jc w:val="left"/>
            </w:pPr>
            <w:r>
              <w:rPr>
                <w:rFonts w:ascii="宋体" w:hAnsi="宋体" w:eastAsia="宋体" w:cs="宋体"/>
                <w:sz w:val="20"/>
                <w:szCs w:val="20"/>
              </w:rPr>
              <w:t> </w:t>
            </w:r>
          </w:p>
        </w:tc>
        <w:tc>
          <w:tcPr>
            <w:tcW w:w="810" w:type="dxa"/>
            <w:tcBorders>
              <w:bottom w:val="single" w:color="000000" w:sz="4" w:space="0"/>
            </w:tcBorders>
            <w:shd w:val="clear" w:color="auto" w:fill="FFFFFF"/>
            <w:tcMar>
              <w:top w:w="20" w:type="dxa"/>
              <w:left w:w="20" w:type="dxa"/>
              <w:bottom w:w="20" w:type="dxa"/>
              <w:right w:w="20" w:type="dxa"/>
            </w:tcMar>
            <w:vAlign w:val="center"/>
          </w:tcPr>
          <w:p>
            <w:pPr>
              <w:pStyle w:val="8"/>
              <w:spacing w:before="100" w:after="100"/>
              <w:jc w:val="left"/>
            </w:pPr>
            <w:r>
              <w:rPr>
                <w:rFonts w:ascii="宋体" w:hAnsi="宋体" w:eastAsia="宋体" w:cs="宋体"/>
                <w:sz w:val="20"/>
                <w:szCs w:val="20"/>
              </w:rPr>
              <w:t> </w:t>
            </w:r>
          </w:p>
        </w:tc>
        <w:tc>
          <w:tcPr>
            <w:tcW w:w="2189" w:type="dxa"/>
            <w:gridSpan w:val="4"/>
            <w:tcBorders>
              <w:bottom w:val="single" w:color="000000" w:sz="4" w:space="0"/>
            </w:tcBorders>
            <w:shd w:val="clear" w:color="auto" w:fill="FFFFFF"/>
            <w:tcMar>
              <w:top w:w="20" w:type="dxa"/>
              <w:left w:w="20" w:type="dxa"/>
              <w:bottom w:w="20" w:type="dxa"/>
              <w:right w:w="20" w:type="dxa"/>
            </w:tcMar>
            <w:vAlign w:val="center"/>
          </w:tcPr>
          <w:p>
            <w:pPr>
              <w:pStyle w:val="8"/>
              <w:spacing w:before="100" w:after="100"/>
              <w:jc w:val="right"/>
            </w:pPr>
            <w:r>
              <w:rPr>
                <w:rFonts w:ascii="宋体" w:hAnsi="宋体" w:eastAsia="宋体" w:cs="宋体"/>
                <w:sz w:val="20"/>
                <w:szCs w:val="20"/>
              </w:rPr>
              <w:t>单位：万元</w:t>
            </w:r>
          </w:p>
        </w:tc>
      </w:tr>
      <w:tr>
        <w:tblPrEx>
          <w:tblLayout w:type="fixed"/>
          <w:tblCellMar>
            <w:top w:w="15" w:type="dxa"/>
            <w:left w:w="15" w:type="dxa"/>
            <w:bottom w:w="15" w:type="dxa"/>
            <w:right w:w="15" w:type="dxa"/>
          </w:tblCellMar>
        </w:tblPrEx>
        <w:trPr>
          <w:trHeight w:val="270" w:hRule="atLeast"/>
        </w:trPr>
        <w:tc>
          <w:tcPr>
            <w:tcW w:w="309" w:type="dxa"/>
            <w:vMerge w:val="restart"/>
            <w:tcBorders>
              <w:left w:val="single" w:color="000000" w:sz="4" w:space="0"/>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项目</w:t>
            </w:r>
          </w:p>
        </w:tc>
        <w:tc>
          <w:tcPr>
            <w:tcW w:w="302" w:type="dxa"/>
            <w:vMerge w:val="restart"/>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行次</w:t>
            </w:r>
          </w:p>
        </w:tc>
        <w:tc>
          <w:tcPr>
            <w:tcW w:w="902" w:type="dxa"/>
            <w:vMerge w:val="restart"/>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资产总额</w:t>
            </w:r>
          </w:p>
        </w:tc>
        <w:tc>
          <w:tcPr>
            <w:tcW w:w="839" w:type="dxa"/>
            <w:vMerge w:val="restart"/>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流动资产</w:t>
            </w:r>
          </w:p>
        </w:tc>
        <w:tc>
          <w:tcPr>
            <w:tcW w:w="4140" w:type="dxa"/>
            <w:gridSpan w:val="5"/>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固定资产</w:t>
            </w:r>
          </w:p>
        </w:tc>
        <w:tc>
          <w:tcPr>
            <w:tcW w:w="345" w:type="dxa"/>
            <w:vMerge w:val="restart"/>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对外投资/有价证券</w:t>
            </w:r>
          </w:p>
        </w:tc>
        <w:tc>
          <w:tcPr>
            <w:tcW w:w="855" w:type="dxa"/>
            <w:vMerge w:val="restart"/>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在建工程</w:t>
            </w:r>
          </w:p>
        </w:tc>
        <w:tc>
          <w:tcPr>
            <w:tcW w:w="705" w:type="dxa"/>
            <w:vMerge w:val="restart"/>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无形资产</w:t>
            </w:r>
          </w:p>
        </w:tc>
        <w:tc>
          <w:tcPr>
            <w:tcW w:w="284" w:type="dxa"/>
            <w:vMerge w:val="restart"/>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其他资产</w:t>
            </w:r>
          </w:p>
        </w:tc>
      </w:tr>
      <w:tr>
        <w:tblPrEx>
          <w:tblLayout w:type="fixed"/>
          <w:tblCellMar>
            <w:top w:w="15" w:type="dxa"/>
            <w:left w:w="15" w:type="dxa"/>
            <w:bottom w:w="15" w:type="dxa"/>
            <w:right w:w="15" w:type="dxa"/>
          </w:tblCellMar>
        </w:tblPrEx>
        <w:trPr>
          <w:trHeight w:val="4143" w:hRule="atLeast"/>
        </w:trPr>
        <w:tc>
          <w:tcPr>
            <w:tcW w:w="309" w:type="dxa"/>
            <w:vMerge w:val="continue"/>
            <w:tcBorders>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302" w:type="dxa"/>
            <w:vMerge w:val="continue"/>
            <w:tcBorders>
              <w:bottom w:val="single" w:color="000000" w:sz="4" w:space="0"/>
              <w:right w:val="single" w:color="000000" w:sz="4" w:space="0"/>
            </w:tcBorders>
            <w:vAlign w:val="center"/>
          </w:tcPr>
          <w:p>
            <w:pPr>
              <w:rPr>
                <w:rFonts w:ascii="宋体" w:hAnsi="宋体" w:cs="宋体"/>
                <w:sz w:val="20"/>
                <w:szCs w:val="20"/>
              </w:rPr>
            </w:pPr>
          </w:p>
        </w:tc>
        <w:tc>
          <w:tcPr>
            <w:tcW w:w="902" w:type="dxa"/>
            <w:vMerge w:val="continue"/>
            <w:tcBorders>
              <w:bottom w:val="single" w:color="000000" w:sz="4" w:space="0"/>
              <w:right w:val="single" w:color="000000" w:sz="4" w:space="0"/>
            </w:tcBorders>
            <w:vAlign w:val="center"/>
          </w:tcPr>
          <w:p>
            <w:pPr>
              <w:rPr>
                <w:rFonts w:ascii="宋体" w:hAnsi="宋体" w:cs="宋体"/>
                <w:sz w:val="20"/>
                <w:szCs w:val="20"/>
              </w:rPr>
            </w:pPr>
          </w:p>
        </w:tc>
        <w:tc>
          <w:tcPr>
            <w:tcW w:w="839" w:type="dxa"/>
            <w:vMerge w:val="continue"/>
            <w:tcBorders>
              <w:top w:val="single" w:color="000000" w:sz="4" w:space="0"/>
              <w:bottom w:val="single" w:color="000000" w:sz="4" w:space="0"/>
              <w:right w:val="single" w:color="000000" w:sz="4" w:space="0"/>
            </w:tcBorders>
            <w:vAlign w:val="center"/>
          </w:tcPr>
          <w:p>
            <w:pPr>
              <w:rPr>
                <w:rFonts w:ascii="宋体" w:hAnsi="宋体" w:cs="宋体"/>
                <w:sz w:val="20"/>
                <w:szCs w:val="20"/>
              </w:rPr>
            </w:pPr>
          </w:p>
        </w:tc>
        <w:tc>
          <w:tcPr>
            <w:tcW w:w="990" w:type="dxa"/>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小计</w:t>
            </w:r>
          </w:p>
        </w:tc>
        <w:tc>
          <w:tcPr>
            <w:tcW w:w="975" w:type="dxa"/>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房屋构筑物</w:t>
            </w:r>
          </w:p>
        </w:tc>
        <w:tc>
          <w:tcPr>
            <w:tcW w:w="930" w:type="dxa"/>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车辆</w:t>
            </w:r>
          </w:p>
        </w:tc>
        <w:tc>
          <w:tcPr>
            <w:tcW w:w="435" w:type="dxa"/>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单价200万以上大型设备</w:t>
            </w:r>
          </w:p>
        </w:tc>
        <w:tc>
          <w:tcPr>
            <w:tcW w:w="810" w:type="dxa"/>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其他固定资产</w:t>
            </w:r>
          </w:p>
        </w:tc>
        <w:tc>
          <w:tcPr>
            <w:tcW w:w="345" w:type="dxa"/>
            <w:vMerge w:val="continue"/>
            <w:tcBorders>
              <w:top w:val="single" w:color="000000" w:sz="4" w:space="0"/>
              <w:bottom w:val="single" w:color="000000" w:sz="4" w:space="0"/>
              <w:right w:val="single" w:color="000000" w:sz="4" w:space="0"/>
            </w:tcBorders>
            <w:vAlign w:val="center"/>
          </w:tcPr>
          <w:p>
            <w:pPr>
              <w:rPr>
                <w:rFonts w:ascii="宋体" w:hAnsi="宋体" w:cs="宋体"/>
                <w:sz w:val="20"/>
                <w:szCs w:val="20"/>
              </w:rPr>
            </w:pPr>
          </w:p>
        </w:tc>
        <w:tc>
          <w:tcPr>
            <w:tcW w:w="855" w:type="dxa"/>
            <w:vMerge w:val="continue"/>
            <w:tcBorders>
              <w:top w:val="single" w:color="000000" w:sz="4" w:space="0"/>
              <w:bottom w:val="single" w:color="000000" w:sz="4" w:space="0"/>
              <w:right w:val="single" w:color="000000" w:sz="4" w:space="0"/>
            </w:tcBorders>
            <w:vAlign w:val="center"/>
          </w:tcPr>
          <w:p>
            <w:pPr>
              <w:rPr>
                <w:rFonts w:ascii="宋体" w:hAnsi="宋体" w:cs="宋体"/>
                <w:sz w:val="20"/>
                <w:szCs w:val="20"/>
              </w:rPr>
            </w:pPr>
          </w:p>
        </w:tc>
        <w:tc>
          <w:tcPr>
            <w:tcW w:w="705" w:type="dxa"/>
            <w:vMerge w:val="continue"/>
            <w:tcBorders>
              <w:top w:val="single" w:color="000000" w:sz="4" w:space="0"/>
              <w:bottom w:val="single" w:color="000000" w:sz="4" w:space="0"/>
              <w:right w:val="single" w:color="000000" w:sz="4" w:space="0"/>
            </w:tcBorders>
            <w:vAlign w:val="center"/>
          </w:tcPr>
          <w:p>
            <w:pPr>
              <w:rPr>
                <w:rFonts w:ascii="宋体" w:hAnsi="宋体" w:cs="宋体"/>
                <w:sz w:val="20"/>
                <w:szCs w:val="20"/>
              </w:rPr>
            </w:pPr>
          </w:p>
        </w:tc>
        <w:tc>
          <w:tcPr>
            <w:tcW w:w="284" w:type="dxa"/>
            <w:vMerge w:val="continue"/>
            <w:tcBorders>
              <w:top w:val="single" w:color="000000" w:sz="4" w:space="0"/>
              <w:bottom w:val="single" w:color="000000" w:sz="4" w:space="0"/>
              <w:right w:val="single" w:color="000000" w:sz="4" w:space="0"/>
            </w:tcBorders>
            <w:vAlign w:val="center"/>
          </w:tcPr>
          <w:p>
            <w:pPr>
              <w:rPr>
                <w:rFonts w:ascii="宋体" w:hAnsi="宋体" w:cs="宋体"/>
                <w:sz w:val="20"/>
                <w:szCs w:val="20"/>
              </w:rPr>
            </w:pPr>
          </w:p>
        </w:tc>
      </w:tr>
      <w:tr>
        <w:tblPrEx>
          <w:tblLayout w:type="fixed"/>
          <w:tblCellMar>
            <w:top w:w="15" w:type="dxa"/>
            <w:left w:w="15" w:type="dxa"/>
            <w:bottom w:w="15" w:type="dxa"/>
            <w:right w:w="15" w:type="dxa"/>
          </w:tblCellMar>
        </w:tblPrEx>
        <w:trPr>
          <w:trHeight w:val="642" w:hRule="atLeast"/>
        </w:trPr>
        <w:tc>
          <w:tcPr>
            <w:tcW w:w="309" w:type="dxa"/>
            <w:tcBorders>
              <w:left w:val="single" w:color="000000" w:sz="4" w:space="0"/>
              <w:bottom w:val="single" w:color="000000" w:sz="4" w:space="0"/>
              <w:right w:val="single" w:color="000000" w:sz="4" w:space="0"/>
            </w:tcBorders>
            <w:tcMar>
              <w:top w:w="5" w:type="dxa"/>
              <w:left w:w="5" w:type="dxa"/>
              <w:bottom w:w="5" w:type="dxa"/>
              <w:right w:w="5" w:type="dxa"/>
            </w:tcMar>
            <w:vAlign w:val="center"/>
          </w:tcPr>
          <w:p>
            <w:pPr>
              <w:pStyle w:val="8"/>
              <w:spacing w:before="100" w:after="100"/>
              <w:jc w:val="center"/>
            </w:pPr>
            <w:r>
              <w:rPr>
                <w:rFonts w:ascii="宋体" w:hAnsi="宋体" w:eastAsia="宋体" w:cs="宋体"/>
                <w:sz w:val="20"/>
                <w:szCs w:val="20"/>
              </w:rPr>
              <w:t>栏次</w:t>
            </w:r>
          </w:p>
        </w:tc>
        <w:tc>
          <w:tcPr>
            <w:tcW w:w="302" w:type="dxa"/>
            <w:tcBorders>
              <w:bottom w:val="single" w:color="000000" w:sz="4" w:space="0"/>
              <w:right w:val="single" w:color="000000" w:sz="4" w:space="0"/>
            </w:tcBorders>
            <w:tcMar>
              <w:top w:w="5" w:type="dxa"/>
              <w:left w:w="5" w:type="dxa"/>
              <w:bottom w:w="5" w:type="dxa"/>
              <w:right w:w="5" w:type="dxa"/>
            </w:tcMar>
            <w:vAlign w:val="center"/>
          </w:tcPr>
          <w:p>
            <w:pPr>
              <w:pStyle w:val="8"/>
              <w:spacing w:before="100" w:after="100"/>
              <w:jc w:val="left"/>
            </w:pPr>
            <w:r>
              <w:rPr>
                <w:rFonts w:ascii="宋体" w:hAnsi="宋体" w:eastAsia="宋体" w:cs="宋体"/>
                <w:sz w:val="20"/>
                <w:szCs w:val="20"/>
              </w:rPr>
              <w:t> </w:t>
            </w:r>
          </w:p>
        </w:tc>
        <w:tc>
          <w:tcPr>
            <w:tcW w:w="902" w:type="dxa"/>
            <w:tcBorders>
              <w:bottom w:val="single" w:color="000000" w:sz="4" w:space="0"/>
              <w:right w:val="single" w:color="000000" w:sz="4" w:space="0"/>
            </w:tcBorders>
            <w:tcMar>
              <w:top w:w="5" w:type="dxa"/>
              <w:left w:w="5" w:type="dxa"/>
              <w:bottom w:w="5" w:type="dxa"/>
              <w:right w:w="5" w:type="dxa"/>
            </w:tcMar>
            <w:vAlign w:val="center"/>
          </w:tcPr>
          <w:p>
            <w:pPr>
              <w:pStyle w:val="8"/>
              <w:spacing w:before="100" w:after="100"/>
              <w:jc w:val="center"/>
            </w:pPr>
            <w:r>
              <w:rPr>
                <w:rFonts w:ascii="宋体" w:hAnsi="宋体" w:eastAsia="宋体" w:cs="宋体"/>
                <w:sz w:val="20"/>
                <w:szCs w:val="20"/>
              </w:rPr>
              <w:t>1</w:t>
            </w:r>
          </w:p>
        </w:tc>
        <w:tc>
          <w:tcPr>
            <w:tcW w:w="839" w:type="dxa"/>
            <w:tcBorders>
              <w:bottom w:val="single" w:color="000000" w:sz="4" w:space="0"/>
              <w:right w:val="single" w:color="000000" w:sz="4" w:space="0"/>
            </w:tcBorders>
            <w:tcMar>
              <w:top w:w="5" w:type="dxa"/>
              <w:left w:w="5" w:type="dxa"/>
              <w:bottom w:w="5" w:type="dxa"/>
              <w:right w:w="5" w:type="dxa"/>
            </w:tcMar>
            <w:vAlign w:val="center"/>
          </w:tcPr>
          <w:p>
            <w:pPr>
              <w:pStyle w:val="8"/>
              <w:spacing w:before="100" w:after="100"/>
              <w:jc w:val="center"/>
            </w:pPr>
            <w:r>
              <w:rPr>
                <w:rFonts w:ascii="宋体" w:hAnsi="宋体" w:eastAsia="宋体" w:cs="宋体"/>
                <w:sz w:val="20"/>
                <w:szCs w:val="20"/>
              </w:rPr>
              <w:t>2</w:t>
            </w:r>
          </w:p>
        </w:tc>
        <w:tc>
          <w:tcPr>
            <w:tcW w:w="990" w:type="dxa"/>
            <w:tcBorders>
              <w:bottom w:val="single" w:color="000000" w:sz="4" w:space="0"/>
              <w:right w:val="single" w:color="000000" w:sz="4" w:space="0"/>
            </w:tcBorders>
            <w:tcMar>
              <w:top w:w="5" w:type="dxa"/>
              <w:left w:w="5" w:type="dxa"/>
              <w:bottom w:w="5" w:type="dxa"/>
              <w:right w:w="5" w:type="dxa"/>
            </w:tcMar>
            <w:vAlign w:val="center"/>
          </w:tcPr>
          <w:p>
            <w:pPr>
              <w:pStyle w:val="8"/>
              <w:spacing w:before="100" w:after="100"/>
              <w:jc w:val="center"/>
            </w:pPr>
            <w:r>
              <w:rPr>
                <w:rFonts w:ascii="宋体" w:hAnsi="宋体" w:eastAsia="宋体" w:cs="宋体"/>
                <w:sz w:val="20"/>
                <w:szCs w:val="20"/>
              </w:rPr>
              <w:t>3</w:t>
            </w:r>
          </w:p>
        </w:tc>
        <w:tc>
          <w:tcPr>
            <w:tcW w:w="975" w:type="dxa"/>
            <w:tcBorders>
              <w:bottom w:val="single" w:color="000000" w:sz="4" w:space="0"/>
              <w:right w:val="single" w:color="000000" w:sz="4" w:space="0"/>
            </w:tcBorders>
            <w:tcMar>
              <w:top w:w="5" w:type="dxa"/>
              <w:left w:w="5" w:type="dxa"/>
              <w:bottom w:w="5" w:type="dxa"/>
              <w:right w:w="5" w:type="dxa"/>
            </w:tcMar>
            <w:vAlign w:val="center"/>
          </w:tcPr>
          <w:p>
            <w:pPr>
              <w:pStyle w:val="8"/>
              <w:spacing w:before="100" w:after="100"/>
              <w:jc w:val="center"/>
            </w:pPr>
            <w:r>
              <w:rPr>
                <w:rFonts w:ascii="宋体" w:hAnsi="宋体" w:eastAsia="宋体" w:cs="宋体"/>
                <w:sz w:val="20"/>
                <w:szCs w:val="20"/>
              </w:rPr>
              <w:t>4</w:t>
            </w:r>
          </w:p>
        </w:tc>
        <w:tc>
          <w:tcPr>
            <w:tcW w:w="930" w:type="dxa"/>
            <w:tcBorders>
              <w:bottom w:val="single" w:color="000000" w:sz="4" w:space="0"/>
              <w:right w:val="single" w:color="000000" w:sz="4" w:space="0"/>
            </w:tcBorders>
            <w:tcMar>
              <w:top w:w="5" w:type="dxa"/>
              <w:left w:w="5" w:type="dxa"/>
              <w:bottom w:w="5" w:type="dxa"/>
              <w:right w:w="5" w:type="dxa"/>
            </w:tcMar>
            <w:vAlign w:val="center"/>
          </w:tcPr>
          <w:p>
            <w:pPr>
              <w:pStyle w:val="8"/>
              <w:spacing w:before="100" w:after="100"/>
              <w:jc w:val="center"/>
            </w:pPr>
            <w:r>
              <w:rPr>
                <w:rFonts w:ascii="宋体" w:hAnsi="宋体" w:eastAsia="宋体" w:cs="宋体"/>
                <w:sz w:val="20"/>
                <w:szCs w:val="20"/>
              </w:rPr>
              <w:t>5</w:t>
            </w:r>
          </w:p>
        </w:tc>
        <w:tc>
          <w:tcPr>
            <w:tcW w:w="435" w:type="dxa"/>
            <w:tcBorders>
              <w:bottom w:val="single" w:color="000000" w:sz="4" w:space="0"/>
              <w:right w:val="single" w:color="000000" w:sz="4" w:space="0"/>
            </w:tcBorders>
            <w:tcMar>
              <w:top w:w="5" w:type="dxa"/>
              <w:left w:w="5" w:type="dxa"/>
              <w:bottom w:w="5" w:type="dxa"/>
              <w:right w:w="5" w:type="dxa"/>
            </w:tcMar>
            <w:vAlign w:val="center"/>
          </w:tcPr>
          <w:p>
            <w:pPr>
              <w:pStyle w:val="8"/>
              <w:spacing w:before="100" w:after="100"/>
              <w:jc w:val="center"/>
            </w:pPr>
            <w:r>
              <w:rPr>
                <w:rFonts w:ascii="宋体" w:hAnsi="宋体" w:eastAsia="宋体" w:cs="宋体"/>
                <w:sz w:val="20"/>
                <w:szCs w:val="20"/>
              </w:rPr>
              <w:t>6</w:t>
            </w:r>
          </w:p>
        </w:tc>
        <w:tc>
          <w:tcPr>
            <w:tcW w:w="810" w:type="dxa"/>
            <w:tcBorders>
              <w:bottom w:val="single" w:color="000000" w:sz="4" w:space="0"/>
              <w:right w:val="single" w:color="000000" w:sz="4" w:space="0"/>
            </w:tcBorders>
            <w:tcMar>
              <w:top w:w="5" w:type="dxa"/>
              <w:left w:w="5" w:type="dxa"/>
              <w:bottom w:w="5" w:type="dxa"/>
              <w:right w:w="5" w:type="dxa"/>
            </w:tcMar>
            <w:vAlign w:val="center"/>
          </w:tcPr>
          <w:p>
            <w:pPr>
              <w:pStyle w:val="8"/>
              <w:spacing w:before="100" w:after="100"/>
              <w:jc w:val="center"/>
            </w:pPr>
            <w:r>
              <w:rPr>
                <w:rFonts w:ascii="宋体" w:hAnsi="宋体" w:eastAsia="宋体" w:cs="宋体"/>
                <w:sz w:val="20"/>
                <w:szCs w:val="20"/>
              </w:rPr>
              <w:t>7</w:t>
            </w:r>
          </w:p>
        </w:tc>
        <w:tc>
          <w:tcPr>
            <w:tcW w:w="345" w:type="dxa"/>
            <w:tcBorders>
              <w:bottom w:val="single" w:color="000000" w:sz="4" w:space="0"/>
              <w:right w:val="single" w:color="000000" w:sz="4" w:space="0"/>
            </w:tcBorders>
            <w:tcMar>
              <w:top w:w="5" w:type="dxa"/>
              <w:left w:w="5" w:type="dxa"/>
              <w:bottom w:w="5" w:type="dxa"/>
              <w:right w:w="5" w:type="dxa"/>
            </w:tcMar>
            <w:vAlign w:val="center"/>
          </w:tcPr>
          <w:p>
            <w:pPr>
              <w:pStyle w:val="8"/>
              <w:spacing w:before="100" w:after="100"/>
              <w:jc w:val="center"/>
            </w:pPr>
            <w:r>
              <w:rPr>
                <w:rFonts w:ascii="宋体" w:hAnsi="宋体" w:eastAsia="宋体" w:cs="宋体"/>
                <w:sz w:val="20"/>
                <w:szCs w:val="20"/>
              </w:rPr>
              <w:t>8</w:t>
            </w:r>
          </w:p>
        </w:tc>
        <w:tc>
          <w:tcPr>
            <w:tcW w:w="855" w:type="dxa"/>
            <w:tcBorders>
              <w:bottom w:val="single" w:color="000000" w:sz="4" w:space="0"/>
              <w:right w:val="single" w:color="000000" w:sz="4" w:space="0"/>
            </w:tcBorders>
            <w:tcMar>
              <w:top w:w="5" w:type="dxa"/>
              <w:left w:w="5" w:type="dxa"/>
              <w:bottom w:w="5" w:type="dxa"/>
              <w:right w:w="5" w:type="dxa"/>
            </w:tcMar>
            <w:vAlign w:val="center"/>
          </w:tcPr>
          <w:p>
            <w:pPr>
              <w:pStyle w:val="8"/>
              <w:spacing w:before="100" w:after="100"/>
              <w:jc w:val="center"/>
            </w:pPr>
            <w:r>
              <w:rPr>
                <w:rFonts w:ascii="宋体" w:hAnsi="宋体" w:eastAsia="宋体" w:cs="宋体"/>
                <w:sz w:val="20"/>
                <w:szCs w:val="20"/>
              </w:rPr>
              <w:t>9</w:t>
            </w:r>
          </w:p>
        </w:tc>
        <w:tc>
          <w:tcPr>
            <w:tcW w:w="705" w:type="dxa"/>
            <w:tcBorders>
              <w:bottom w:val="single" w:color="000000" w:sz="4" w:space="0"/>
              <w:right w:val="single" w:color="000000" w:sz="4" w:space="0"/>
            </w:tcBorders>
            <w:tcMar>
              <w:top w:w="5" w:type="dxa"/>
              <w:left w:w="5" w:type="dxa"/>
              <w:bottom w:w="5" w:type="dxa"/>
              <w:right w:w="5" w:type="dxa"/>
            </w:tcMar>
            <w:vAlign w:val="center"/>
          </w:tcPr>
          <w:p>
            <w:pPr>
              <w:pStyle w:val="8"/>
              <w:spacing w:before="100" w:after="100"/>
              <w:jc w:val="center"/>
            </w:pPr>
            <w:r>
              <w:rPr>
                <w:rFonts w:ascii="宋体" w:hAnsi="宋体" w:eastAsia="宋体" w:cs="宋体"/>
                <w:sz w:val="20"/>
                <w:szCs w:val="20"/>
              </w:rPr>
              <w:t>10</w:t>
            </w:r>
          </w:p>
        </w:tc>
        <w:tc>
          <w:tcPr>
            <w:tcW w:w="284" w:type="dxa"/>
            <w:tcBorders>
              <w:bottom w:val="single" w:color="000000" w:sz="4" w:space="0"/>
              <w:right w:val="single" w:color="000000" w:sz="4" w:space="0"/>
            </w:tcBorders>
            <w:tcMar>
              <w:top w:w="5" w:type="dxa"/>
              <w:left w:w="5" w:type="dxa"/>
              <w:bottom w:w="5" w:type="dxa"/>
              <w:right w:w="5" w:type="dxa"/>
            </w:tcMar>
            <w:vAlign w:val="center"/>
          </w:tcPr>
          <w:p>
            <w:pPr>
              <w:pStyle w:val="8"/>
              <w:spacing w:before="100" w:after="100"/>
              <w:jc w:val="center"/>
            </w:pPr>
            <w:r>
              <w:rPr>
                <w:rFonts w:ascii="宋体" w:hAnsi="宋体" w:eastAsia="宋体" w:cs="宋体"/>
                <w:sz w:val="20"/>
                <w:szCs w:val="20"/>
              </w:rPr>
              <w:t>11</w:t>
            </w:r>
          </w:p>
        </w:tc>
      </w:tr>
      <w:tr>
        <w:tblPrEx>
          <w:tblLayout w:type="fixed"/>
          <w:tblCellMar>
            <w:top w:w="15" w:type="dxa"/>
            <w:left w:w="15" w:type="dxa"/>
            <w:bottom w:w="15" w:type="dxa"/>
            <w:right w:w="15" w:type="dxa"/>
          </w:tblCellMar>
        </w:tblPrEx>
        <w:trPr>
          <w:trHeight w:val="1128" w:hRule="atLeast"/>
        </w:trPr>
        <w:tc>
          <w:tcPr>
            <w:tcW w:w="309" w:type="dxa"/>
            <w:tcBorders>
              <w:left w:val="single" w:color="000000" w:sz="4" w:space="0"/>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合计</w:t>
            </w:r>
          </w:p>
        </w:tc>
        <w:tc>
          <w:tcPr>
            <w:tcW w:w="302" w:type="dxa"/>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pPr>
            <w:r>
              <w:rPr>
                <w:rFonts w:ascii="宋体" w:hAnsi="宋体" w:eastAsia="宋体" w:cs="宋体"/>
                <w:sz w:val="20"/>
                <w:szCs w:val="20"/>
              </w:rPr>
              <w:t>1</w:t>
            </w:r>
          </w:p>
        </w:tc>
        <w:tc>
          <w:tcPr>
            <w:tcW w:w="902" w:type="dxa"/>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rPr>
                <w:rFonts w:ascii="宋体" w:hAnsi="宋体" w:eastAsia="宋体" w:cs="宋体"/>
                <w:sz w:val="20"/>
                <w:szCs w:val="20"/>
              </w:rPr>
            </w:pPr>
            <w:r>
              <w:rPr>
                <w:rFonts w:hint="eastAsia" w:ascii="宋体" w:hAnsi="宋体" w:eastAsia="宋体" w:cs="宋体"/>
                <w:sz w:val="20"/>
                <w:szCs w:val="20"/>
              </w:rPr>
              <w:t>3168.64</w:t>
            </w:r>
          </w:p>
        </w:tc>
        <w:tc>
          <w:tcPr>
            <w:tcW w:w="839" w:type="dxa"/>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rPr>
                <w:rFonts w:ascii="宋体" w:hAnsi="宋体" w:eastAsia="宋体" w:cs="宋体"/>
                <w:sz w:val="20"/>
                <w:szCs w:val="20"/>
              </w:rPr>
            </w:pPr>
            <w:r>
              <w:rPr>
                <w:rFonts w:hint="eastAsia" w:ascii="宋体" w:hAnsi="宋体" w:eastAsia="宋体" w:cs="宋体"/>
                <w:sz w:val="20"/>
                <w:szCs w:val="20"/>
              </w:rPr>
              <w:t>77.15</w:t>
            </w:r>
          </w:p>
        </w:tc>
        <w:tc>
          <w:tcPr>
            <w:tcW w:w="990" w:type="dxa"/>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rPr>
                <w:rFonts w:ascii="宋体" w:hAnsi="宋体" w:eastAsia="宋体" w:cs="宋体"/>
                <w:sz w:val="20"/>
                <w:szCs w:val="20"/>
              </w:rPr>
            </w:pPr>
            <w:r>
              <w:rPr>
                <w:rFonts w:hint="eastAsia" w:ascii="宋体" w:hAnsi="宋体" w:eastAsia="宋体" w:cs="宋体"/>
                <w:sz w:val="20"/>
                <w:szCs w:val="20"/>
              </w:rPr>
              <w:t>1654.84</w:t>
            </w:r>
          </w:p>
        </w:tc>
        <w:tc>
          <w:tcPr>
            <w:tcW w:w="975" w:type="dxa"/>
            <w:tcBorders>
              <w:bottom w:val="single" w:color="000000" w:sz="4" w:space="0"/>
              <w:right w:val="single" w:color="000000" w:sz="4" w:space="0"/>
            </w:tcBorders>
            <w:tcMar>
              <w:top w:w="20" w:type="dxa"/>
              <w:left w:w="20" w:type="dxa"/>
              <w:bottom w:w="20" w:type="dxa"/>
              <w:right w:w="20" w:type="dxa"/>
            </w:tcMar>
            <w:vAlign w:val="center"/>
          </w:tcPr>
          <w:p>
            <w:pPr>
              <w:pStyle w:val="8"/>
              <w:tabs>
                <w:tab w:val="left" w:pos="421"/>
                <w:tab w:val="right" w:pos="785"/>
              </w:tabs>
              <w:spacing w:before="100" w:after="100"/>
              <w:jc w:val="center"/>
              <w:rPr>
                <w:rFonts w:ascii="宋体" w:hAnsi="宋体" w:eastAsia="宋体" w:cs="宋体"/>
                <w:sz w:val="20"/>
                <w:szCs w:val="20"/>
              </w:rPr>
            </w:pPr>
            <w:r>
              <w:rPr>
                <w:rFonts w:hint="eastAsia" w:ascii="宋体" w:hAnsi="宋体" w:eastAsia="宋体" w:cs="宋体"/>
                <w:sz w:val="20"/>
                <w:szCs w:val="20"/>
              </w:rPr>
              <w:t>868.41</w:t>
            </w:r>
          </w:p>
        </w:tc>
        <w:tc>
          <w:tcPr>
            <w:tcW w:w="930" w:type="dxa"/>
            <w:tcBorders>
              <w:bottom w:val="single" w:color="000000" w:sz="4" w:space="0"/>
              <w:right w:val="single" w:color="000000" w:sz="4" w:space="0"/>
            </w:tcBorders>
            <w:tcMar>
              <w:top w:w="20" w:type="dxa"/>
              <w:left w:w="20" w:type="dxa"/>
              <w:bottom w:w="20" w:type="dxa"/>
              <w:right w:w="20" w:type="dxa"/>
            </w:tcMar>
            <w:vAlign w:val="center"/>
          </w:tcPr>
          <w:p>
            <w:pPr>
              <w:pStyle w:val="8"/>
              <w:tabs>
                <w:tab w:val="center" w:pos="215"/>
                <w:tab w:val="right" w:pos="550"/>
              </w:tabs>
              <w:spacing w:before="100" w:after="100"/>
              <w:jc w:val="center"/>
              <w:rPr>
                <w:rFonts w:ascii="宋体" w:hAnsi="宋体" w:eastAsia="宋体" w:cs="宋体"/>
                <w:sz w:val="20"/>
                <w:szCs w:val="20"/>
              </w:rPr>
            </w:pPr>
            <w:r>
              <w:rPr>
                <w:rFonts w:hint="eastAsia" w:ascii="宋体" w:hAnsi="宋体" w:eastAsia="宋体" w:cs="宋体"/>
                <w:sz w:val="20"/>
                <w:szCs w:val="20"/>
              </w:rPr>
              <w:t>229.50</w:t>
            </w:r>
          </w:p>
        </w:tc>
        <w:tc>
          <w:tcPr>
            <w:tcW w:w="435" w:type="dxa"/>
            <w:tcBorders>
              <w:bottom w:val="single" w:color="000000" w:sz="4" w:space="0"/>
              <w:right w:val="single" w:color="000000" w:sz="4" w:space="0"/>
            </w:tcBorders>
            <w:tcMar>
              <w:top w:w="20" w:type="dxa"/>
              <w:left w:w="20" w:type="dxa"/>
              <w:bottom w:w="20" w:type="dxa"/>
              <w:right w:w="20" w:type="dxa"/>
            </w:tcMar>
            <w:vAlign w:val="center"/>
          </w:tcPr>
          <w:p>
            <w:pPr>
              <w:jc w:val="center"/>
              <w:rPr>
                <w:rFonts w:ascii="宋体" w:hAnsi="宋体" w:cs="宋体"/>
                <w:sz w:val="20"/>
                <w:szCs w:val="20"/>
              </w:rPr>
            </w:pPr>
            <w:r>
              <w:rPr>
                <w:rFonts w:hint="eastAsia" w:ascii="宋体" w:hAnsi="宋体" w:cs="宋体"/>
                <w:sz w:val="20"/>
                <w:szCs w:val="20"/>
              </w:rPr>
              <w:t>0</w:t>
            </w:r>
          </w:p>
        </w:tc>
        <w:tc>
          <w:tcPr>
            <w:tcW w:w="810" w:type="dxa"/>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rPr>
                <w:rFonts w:ascii="宋体" w:hAnsi="宋体" w:eastAsia="宋体" w:cs="宋体"/>
                <w:sz w:val="20"/>
                <w:szCs w:val="20"/>
              </w:rPr>
            </w:pPr>
            <w:r>
              <w:rPr>
                <w:rFonts w:hint="eastAsia" w:ascii="宋体" w:hAnsi="宋体" w:eastAsia="宋体" w:cs="宋体"/>
                <w:sz w:val="20"/>
                <w:szCs w:val="20"/>
              </w:rPr>
              <w:t>556.93</w:t>
            </w:r>
          </w:p>
        </w:tc>
        <w:tc>
          <w:tcPr>
            <w:tcW w:w="345" w:type="dxa"/>
            <w:tcBorders>
              <w:bottom w:val="single" w:color="000000" w:sz="4" w:space="0"/>
              <w:right w:val="single" w:color="000000" w:sz="4" w:space="0"/>
            </w:tcBorders>
            <w:tcMar>
              <w:top w:w="20" w:type="dxa"/>
              <w:left w:w="20" w:type="dxa"/>
              <w:bottom w:w="20" w:type="dxa"/>
              <w:right w:w="20" w:type="dxa"/>
            </w:tcMar>
            <w:vAlign w:val="center"/>
          </w:tcPr>
          <w:p>
            <w:pPr>
              <w:pStyle w:val="8"/>
              <w:tabs>
                <w:tab w:val="center" w:pos="568"/>
                <w:tab w:val="right" w:pos="1256"/>
              </w:tabs>
              <w:spacing w:before="100" w:after="100"/>
              <w:jc w:val="center"/>
              <w:rPr>
                <w:rFonts w:ascii="宋体" w:hAnsi="宋体" w:eastAsia="宋体" w:cs="宋体"/>
                <w:sz w:val="20"/>
                <w:szCs w:val="20"/>
              </w:rPr>
            </w:pPr>
            <w:r>
              <w:rPr>
                <w:rFonts w:hint="eastAsia" w:ascii="宋体" w:hAnsi="宋体" w:eastAsia="宋体" w:cs="宋体"/>
                <w:sz w:val="20"/>
                <w:szCs w:val="20"/>
              </w:rPr>
              <w:t>0</w:t>
            </w:r>
          </w:p>
        </w:tc>
        <w:tc>
          <w:tcPr>
            <w:tcW w:w="855" w:type="dxa"/>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rPr>
                <w:rFonts w:ascii="宋体" w:hAnsi="宋体" w:eastAsia="宋体" w:cs="宋体"/>
                <w:sz w:val="20"/>
                <w:szCs w:val="20"/>
              </w:rPr>
            </w:pPr>
            <w:r>
              <w:rPr>
                <w:rFonts w:hint="eastAsia" w:ascii="宋体" w:hAnsi="宋体" w:eastAsia="宋体" w:cs="宋体"/>
                <w:sz w:val="20"/>
                <w:szCs w:val="20"/>
              </w:rPr>
              <w:t>1436.65</w:t>
            </w:r>
          </w:p>
        </w:tc>
        <w:tc>
          <w:tcPr>
            <w:tcW w:w="705" w:type="dxa"/>
            <w:tcBorders>
              <w:bottom w:val="single" w:color="000000" w:sz="4" w:space="0"/>
              <w:right w:val="single" w:color="000000" w:sz="4" w:space="0"/>
            </w:tcBorders>
            <w:tcMar>
              <w:top w:w="20" w:type="dxa"/>
              <w:left w:w="20" w:type="dxa"/>
              <w:bottom w:w="20" w:type="dxa"/>
              <w:right w:w="20" w:type="dxa"/>
            </w:tcMar>
            <w:vAlign w:val="center"/>
          </w:tcPr>
          <w:p>
            <w:pPr>
              <w:pStyle w:val="8"/>
              <w:spacing w:before="100" w:after="100"/>
              <w:jc w:val="center"/>
              <w:rPr>
                <w:rFonts w:ascii="宋体" w:hAnsi="宋体" w:eastAsia="宋体" w:cs="宋体"/>
                <w:sz w:val="20"/>
                <w:szCs w:val="20"/>
              </w:rPr>
            </w:pPr>
            <w:r>
              <w:rPr>
                <w:rFonts w:hint="eastAsia" w:ascii="宋体" w:hAnsi="宋体" w:eastAsia="宋体" w:cs="宋体"/>
                <w:sz w:val="20"/>
                <w:szCs w:val="20"/>
              </w:rPr>
              <w:t>0</w:t>
            </w:r>
          </w:p>
        </w:tc>
        <w:tc>
          <w:tcPr>
            <w:tcW w:w="284" w:type="dxa"/>
            <w:tcBorders>
              <w:bottom w:val="single" w:color="000000" w:sz="4" w:space="0"/>
              <w:right w:val="single" w:color="000000" w:sz="4" w:space="0"/>
            </w:tcBorders>
            <w:tcMar>
              <w:top w:w="20" w:type="dxa"/>
              <w:left w:w="20" w:type="dxa"/>
              <w:bottom w:w="20" w:type="dxa"/>
              <w:right w:w="20" w:type="dxa"/>
            </w:tcMar>
            <w:vAlign w:val="center"/>
          </w:tcPr>
          <w:p>
            <w:pPr>
              <w:pStyle w:val="8"/>
              <w:tabs>
                <w:tab w:val="center" w:pos="265"/>
                <w:tab w:val="right" w:pos="651"/>
              </w:tabs>
              <w:spacing w:before="100" w:after="100"/>
              <w:jc w:val="center"/>
              <w:rPr>
                <w:rFonts w:ascii="宋体" w:hAnsi="宋体" w:eastAsia="宋体" w:cs="宋体"/>
                <w:sz w:val="20"/>
                <w:szCs w:val="20"/>
              </w:rPr>
            </w:pP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rPr>
          <w:trHeight w:val="501" w:hRule="atLeast"/>
        </w:trPr>
        <w:tc>
          <w:tcPr>
            <w:tcW w:w="7692" w:type="dxa"/>
            <w:gridSpan w:val="11"/>
            <w:tcMar>
              <w:top w:w="20" w:type="dxa"/>
              <w:left w:w="20" w:type="dxa"/>
              <w:bottom w:w="20" w:type="dxa"/>
              <w:right w:w="20" w:type="dxa"/>
            </w:tcMar>
            <w:vAlign w:val="bottom"/>
          </w:tcPr>
          <w:p>
            <w:pPr>
              <w:pStyle w:val="8"/>
              <w:spacing w:before="100" w:after="100"/>
              <w:jc w:val="right"/>
            </w:pPr>
            <w:r>
              <w:rPr>
                <w:rFonts w:ascii="宋体" w:hAnsi="宋体" w:eastAsia="宋体" w:cs="宋体"/>
                <w:sz w:val="24"/>
                <w:szCs w:val="24"/>
              </w:rPr>
              <w:t> </w:t>
            </w:r>
          </w:p>
        </w:tc>
        <w:tc>
          <w:tcPr>
            <w:tcW w:w="705" w:type="dxa"/>
            <w:tcMar>
              <w:top w:w="20" w:type="dxa"/>
              <w:left w:w="20" w:type="dxa"/>
              <w:bottom w:w="20" w:type="dxa"/>
              <w:right w:w="20" w:type="dxa"/>
            </w:tcMar>
            <w:vAlign w:val="bottom"/>
          </w:tcPr>
          <w:p>
            <w:pPr>
              <w:pStyle w:val="8"/>
              <w:spacing w:before="100" w:after="100"/>
              <w:jc w:val="left"/>
            </w:pPr>
            <w:r>
              <w:rPr>
                <w:rFonts w:ascii="宋体" w:hAnsi="宋体" w:eastAsia="宋体" w:cs="宋体"/>
                <w:sz w:val="24"/>
                <w:szCs w:val="24"/>
              </w:rPr>
              <w:t> </w:t>
            </w:r>
          </w:p>
        </w:tc>
        <w:tc>
          <w:tcPr>
            <w:tcW w:w="284" w:type="dxa"/>
            <w:tcMar>
              <w:top w:w="20" w:type="dxa"/>
              <w:left w:w="20" w:type="dxa"/>
              <w:bottom w:w="20" w:type="dxa"/>
              <w:right w:w="20" w:type="dxa"/>
            </w:tcMar>
            <w:vAlign w:val="bottom"/>
          </w:tcPr>
          <w:p>
            <w:pPr>
              <w:pStyle w:val="8"/>
              <w:spacing w:before="100" w:after="100"/>
              <w:jc w:val="left"/>
            </w:pPr>
            <w:r>
              <w:rPr>
                <w:rFonts w:ascii="宋体" w:hAnsi="宋体" w:eastAsia="宋体" w:cs="宋体"/>
                <w:sz w:val="24"/>
                <w:szCs w:val="24"/>
              </w:rPr>
              <w:t> </w:t>
            </w:r>
          </w:p>
        </w:tc>
      </w:tr>
      <w:tr>
        <w:tblPrEx>
          <w:tblLayout w:type="fixed"/>
          <w:tblCellMar>
            <w:top w:w="15" w:type="dxa"/>
            <w:left w:w="15" w:type="dxa"/>
            <w:bottom w:w="15" w:type="dxa"/>
            <w:right w:w="15" w:type="dxa"/>
          </w:tblCellMar>
        </w:tblPrEx>
        <w:trPr>
          <w:trHeight w:val="300" w:hRule="atLeast"/>
        </w:trPr>
        <w:tc>
          <w:tcPr>
            <w:tcW w:w="8681" w:type="dxa"/>
            <w:gridSpan w:val="13"/>
            <w:tcMar>
              <w:top w:w="20" w:type="dxa"/>
              <w:left w:w="20" w:type="dxa"/>
              <w:bottom w:w="20" w:type="dxa"/>
              <w:right w:w="20" w:type="dxa"/>
            </w:tcMar>
            <w:vAlign w:val="bottom"/>
          </w:tcPr>
          <w:p>
            <w:pPr>
              <w:pStyle w:val="8"/>
              <w:spacing w:before="100" w:after="100"/>
              <w:jc w:val="left"/>
            </w:pPr>
            <w:r>
              <w:rPr>
                <w:rFonts w:ascii="仿宋_GB2312" w:hAnsi="仿宋_GB2312" w:eastAsia="仿宋_GB2312" w:cs="仿宋_GB2312"/>
              </w:rPr>
              <w:t>填报说明：1.资产总额＝流动资产＋固定资产＋对外投资／有价证券＋在建工程＋无形资产＋其他资产2.固定资产＝房屋构筑物＋车辆＋单价200万元以上大型设备＋其他固定资产</w:t>
            </w:r>
          </w:p>
        </w:tc>
      </w:tr>
    </w:tbl>
    <w:p>
      <w:pPr>
        <w:spacing w:line="56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填报说明：1.资产总额＝流动资产＋固定资产＋对外投资／有价证券＋在建工程＋无形资产＋其他资产2.固定资产＝房屋构筑物＋车辆＋单价200万元以上大型设备＋其他固定资产</w:t>
      </w:r>
    </w:p>
    <w:p>
      <w:pPr>
        <w:pStyle w:val="8"/>
        <w:widowControl/>
        <w:spacing w:before="0" w:beforeLines="0" w:after="0" w:afterLines="0" w:line="590" w:lineRule="atLeast"/>
        <w:ind w:left="0" w:right="0" w:firstLine="600"/>
        <w:jc w:val="left"/>
        <w:rPr>
          <w:rFonts w:ascii="黑体" w:hAnsi="黑体" w:eastAsia="黑体" w:cs="黑体"/>
          <w:color w:val="auto"/>
          <w:kern w:val="0"/>
          <w:sz w:val="30"/>
          <w:szCs w:val="30"/>
        </w:rPr>
      </w:pPr>
      <w:r>
        <w:rPr>
          <w:rFonts w:hint="eastAsia" w:ascii="黑体" w:hAnsi="黑体" w:eastAsia="黑体" w:cs="黑体"/>
          <w:color w:val="auto"/>
          <w:kern w:val="0"/>
          <w:sz w:val="30"/>
          <w:szCs w:val="30"/>
        </w:rPr>
        <w:t>三、政府采购支出情况</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jc w:val="left"/>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2019年度，部门政府采购支出总额32.28万元,其中：政府采购货物支出32.28万元;政府采购工程支出0万元;政府采购服务支出0.00万元;授予中小企业合同金额0万元，占政府采购支出总额的0%。</w:t>
      </w:r>
    </w:p>
    <w:p>
      <w:pPr>
        <w:pStyle w:val="8"/>
        <w:widowControl/>
        <w:spacing w:before="0" w:beforeLines="0" w:after="0" w:afterLines="0" w:line="590" w:lineRule="atLeast"/>
        <w:ind w:left="0" w:right="0" w:firstLine="600"/>
        <w:jc w:val="left"/>
        <w:rPr>
          <w:rFonts w:ascii="黑体" w:hAnsi="黑体" w:eastAsia="黑体" w:cs="黑体"/>
          <w:color w:val="auto"/>
          <w:kern w:val="0"/>
          <w:sz w:val="30"/>
          <w:szCs w:val="30"/>
        </w:rPr>
      </w:pPr>
      <w:r>
        <w:rPr>
          <w:rFonts w:hint="eastAsia" w:ascii="黑体" w:hAnsi="黑体" w:eastAsia="黑体" w:cs="黑体"/>
          <w:color w:val="auto"/>
          <w:kern w:val="0"/>
          <w:sz w:val="30"/>
          <w:szCs w:val="30"/>
        </w:rPr>
        <w:t>四、部门绩效自评情况</w:t>
      </w:r>
    </w:p>
    <w:p>
      <w:pPr>
        <w:spacing w:line="560" w:lineRule="exact"/>
        <w:ind w:firstLine="600" w:firstLineChars="200"/>
        <w:rPr>
          <w:rFonts w:hint="default"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部门绩效自评情况由一级预算单位即红河州人民检察院编报，已在省财政厅官网公开。</w:t>
      </w:r>
    </w:p>
    <w:p>
      <w:pPr>
        <w:pStyle w:val="8"/>
        <w:widowControl/>
        <w:spacing w:before="0" w:beforeLines="0" w:after="0" w:afterLines="0" w:line="590" w:lineRule="atLeast"/>
        <w:ind w:left="0" w:right="0" w:firstLine="600"/>
        <w:jc w:val="left"/>
        <w:rPr>
          <w:rFonts w:ascii="黑体" w:hAnsi="黑体" w:eastAsia="黑体" w:cs="黑体"/>
          <w:color w:val="auto"/>
          <w:kern w:val="0"/>
          <w:sz w:val="30"/>
          <w:szCs w:val="30"/>
        </w:rPr>
      </w:pPr>
      <w:r>
        <w:rPr>
          <w:rFonts w:hint="eastAsia" w:ascii="黑体" w:hAnsi="黑体" w:eastAsia="黑体" w:cs="黑体"/>
          <w:color w:val="auto"/>
          <w:kern w:val="0"/>
          <w:sz w:val="30"/>
          <w:szCs w:val="30"/>
        </w:rPr>
        <w:t>五、其他重要事项情况说明</w:t>
      </w:r>
      <w:bookmarkStart w:id="0" w:name="_GoBack"/>
      <w:bookmarkEnd w:id="0"/>
    </w:p>
    <w:p>
      <w:pPr>
        <w:pStyle w:val="8"/>
        <w:widowControl/>
        <w:spacing w:before="0" w:beforeLines="0" w:after="0" w:afterLines="0" w:line="590" w:lineRule="atLeast"/>
        <w:ind w:left="0" w:right="0" w:firstLine="600"/>
        <w:jc w:val="left"/>
        <w:rPr>
          <w:rFonts w:hint="eastAsia" w:ascii="仿宋_GB2312" w:hAnsi="仿宋_GB2312" w:eastAsia="仿宋_GB2312" w:cs="仿宋_GB2312"/>
          <w:color w:val="auto"/>
          <w:kern w:val="0"/>
          <w:sz w:val="30"/>
          <w:szCs w:val="30"/>
          <w:lang w:bidi="ar-SA"/>
        </w:rPr>
      </w:pPr>
      <w:r>
        <w:rPr>
          <w:rFonts w:hint="eastAsia" w:ascii="仿宋_GB2312" w:hAnsi="仿宋_GB2312" w:eastAsia="仿宋_GB2312" w:cs="仿宋_GB2312"/>
          <w:color w:val="auto"/>
          <w:kern w:val="0"/>
          <w:sz w:val="30"/>
          <w:szCs w:val="30"/>
          <w:lang w:bidi="ar-SA"/>
        </w:rPr>
        <w:t>无</w:t>
      </w:r>
    </w:p>
    <w:p>
      <w:pPr>
        <w:pStyle w:val="8"/>
        <w:widowControl/>
        <w:spacing w:before="0" w:beforeLines="0" w:after="0" w:afterLines="0" w:line="590" w:lineRule="atLeast"/>
        <w:ind w:left="0" w:right="0" w:firstLine="600"/>
        <w:jc w:val="left"/>
        <w:rPr>
          <w:rFonts w:hint="eastAsia" w:ascii="黑体" w:hAnsi="黑体" w:eastAsia="黑体" w:cs="黑体"/>
          <w:color w:val="auto"/>
          <w:kern w:val="0"/>
          <w:sz w:val="30"/>
          <w:szCs w:val="30"/>
        </w:rPr>
      </w:pPr>
      <w:r>
        <w:rPr>
          <w:rFonts w:hint="eastAsia" w:ascii="黑体" w:hAnsi="黑体" w:eastAsia="黑体" w:cs="黑体"/>
          <w:color w:val="auto"/>
          <w:kern w:val="0"/>
          <w:sz w:val="30"/>
          <w:szCs w:val="30"/>
        </w:rPr>
        <w:t>六、相关口径说明</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jc w:val="left"/>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（一）基本支出中人员经费包括工资福利支出和对个人和家庭的补助，日常公用支出包括商品和服务支出、资本性支出等人员经费以外的支出。</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jc w:val="left"/>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（二）机关运行经费指行政单位和参照公务员法管理的事业单位使用一般公共预算财政拨款安排的基本支出中的日常公用经费支出。</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jc w:val="left"/>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01"/>
        <w:jc w:val="left"/>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pStyle w:val="8"/>
        <w:widowControl/>
        <w:spacing w:before="0" w:beforeLines="0" w:after="0" w:afterLines="0" w:line="590" w:lineRule="atLeast"/>
        <w:ind w:left="0" w:right="0"/>
        <w:jc w:val="center"/>
        <w:rPr>
          <w:rFonts w:ascii="黑体" w:hAnsi="黑体" w:eastAsia="黑体" w:cs="黑体"/>
          <w:color w:val="auto"/>
          <w:kern w:val="0"/>
          <w:sz w:val="32"/>
          <w:szCs w:val="32"/>
        </w:rPr>
      </w:pPr>
      <w:r>
        <w:rPr>
          <w:rFonts w:hint="eastAsia" w:ascii="黑体" w:hAnsi="黑体" w:eastAsia="黑体" w:cs="黑体"/>
          <w:color w:val="auto"/>
          <w:kern w:val="0"/>
          <w:sz w:val="32"/>
          <w:szCs w:val="32"/>
        </w:rPr>
        <w:t>第五部分  名词解释</w:t>
      </w:r>
    </w:p>
    <w:p>
      <w:pPr>
        <w:pStyle w:val="8"/>
        <w:widowControl/>
        <w:spacing w:before="0" w:beforeLines="0" w:after="0" w:afterLines="0" w:line="590" w:lineRule="atLeast"/>
        <w:ind w:left="0" w:right="0" w:firstLine="6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一、财政拨款收入：指由财政拨款形成的部门收入。按现行管理制度，部门预算中反映的财政拨款包括一般公共预算拨款和政府性基金预算拨款。</w:t>
      </w:r>
    </w:p>
    <w:p>
      <w:pPr>
        <w:pStyle w:val="8"/>
        <w:widowControl/>
        <w:spacing w:before="0" w:beforeLines="0" w:after="0" w:afterLines="0" w:line="590" w:lineRule="atLeast"/>
        <w:ind w:left="0" w:right="0" w:firstLine="6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二、基本支出：指为保障机构正常运转、完成日常工作任务而发生的人员经费和日常公用经费。</w:t>
      </w:r>
    </w:p>
    <w:p>
      <w:pPr>
        <w:pStyle w:val="8"/>
        <w:widowControl/>
        <w:spacing w:before="0" w:beforeLines="0" w:after="0" w:afterLines="0" w:line="590" w:lineRule="atLeast"/>
        <w:ind w:left="0" w:right="0" w:firstLine="6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三、项目支出：指在基本支出之外为完成特定行政任务和事业发展目标所发生的支出。</w:t>
      </w:r>
    </w:p>
    <w:p>
      <w:pPr>
        <w:pStyle w:val="8"/>
        <w:widowControl/>
        <w:spacing w:before="0" w:beforeLines="0" w:after="0" w:afterLines="0" w:line="590" w:lineRule="atLeast"/>
        <w:ind w:left="0" w:right="0" w:firstLine="6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四、公共安全（类）检察（款）：指人民检察院用于保障机构正常运行、开展检察业务工作的支出。</w:t>
      </w:r>
    </w:p>
    <w:p>
      <w:pPr>
        <w:pStyle w:val="8"/>
        <w:widowControl/>
        <w:spacing w:before="0" w:beforeLines="0" w:after="0" w:afterLines="0" w:line="590" w:lineRule="atLeast"/>
        <w:ind w:left="0" w:right="0" w:firstLine="6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(1)行政运行（项）：反映人民检察院的基本支出。</w:t>
      </w:r>
    </w:p>
    <w:p>
      <w:pPr>
        <w:pStyle w:val="8"/>
        <w:widowControl/>
        <w:spacing w:before="0" w:beforeLines="0" w:after="0" w:afterLines="0" w:line="590" w:lineRule="atLeast"/>
        <w:ind w:left="0" w:right="0" w:firstLine="6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(2)一般行政管理事务：反映人民检察院未单独设置项级科目的其他项目支出。</w:t>
      </w:r>
    </w:p>
    <w:p>
      <w:pPr>
        <w:pStyle w:val="8"/>
        <w:widowControl/>
        <w:spacing w:before="0" w:beforeLines="0" w:after="0" w:afterLines="0" w:line="590" w:lineRule="atLeast"/>
        <w:ind w:left="0" w:right="0" w:firstLine="6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(3)“两房”建设（项）：反映人民检察院办案用房和专业技术用房及附属设施的建设和修缮支出。</w:t>
      </w:r>
    </w:p>
    <w:p>
      <w:pPr>
        <w:pStyle w:val="8"/>
        <w:widowControl/>
        <w:spacing w:before="0" w:beforeLines="0" w:after="0" w:afterLines="0" w:line="590" w:lineRule="atLeast"/>
        <w:ind w:left="0" w:right="0" w:firstLine="6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(4)其他检察支出（项）：反映上述项目以外其他用于人民检察院方面的支出。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0CBE"/>
    <w:rsid w:val="00043C8D"/>
    <w:rsid w:val="001312C0"/>
    <w:rsid w:val="001D621D"/>
    <w:rsid w:val="002871E5"/>
    <w:rsid w:val="002F6C57"/>
    <w:rsid w:val="003046FD"/>
    <w:rsid w:val="003E5D91"/>
    <w:rsid w:val="006D2131"/>
    <w:rsid w:val="00710B58"/>
    <w:rsid w:val="00771E18"/>
    <w:rsid w:val="00813912"/>
    <w:rsid w:val="00890CBE"/>
    <w:rsid w:val="009B29C9"/>
    <w:rsid w:val="00A356C7"/>
    <w:rsid w:val="00A6060C"/>
    <w:rsid w:val="00AA5A4A"/>
    <w:rsid w:val="00BB5CD8"/>
    <w:rsid w:val="00C81210"/>
    <w:rsid w:val="00DA593A"/>
    <w:rsid w:val="00E05B7E"/>
    <w:rsid w:val="00EA4824"/>
    <w:rsid w:val="00EE49CF"/>
    <w:rsid w:val="00F70067"/>
    <w:rsid w:val="117C3DD3"/>
    <w:rsid w:val="5D07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p_MsoNormal"/>
    <w:basedOn w:val="1"/>
    <w:uiPriority w:val="0"/>
    <w:pPr>
      <w:widowControl/>
    </w:pPr>
    <w:rPr>
      <w:rFonts w:ascii="等线" w:hAnsi="等线" w:eastAsia="等线" w:cs="等线"/>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784</Words>
  <Characters>4470</Characters>
  <Lines>37</Lines>
  <Paragraphs>10</Paragraphs>
  <TotalTime>60</TotalTime>
  <ScaleCrop>false</ScaleCrop>
  <LinksUpToDate>false</LinksUpToDate>
  <CharactersWithSpaces>5244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2020-09-26T07:47:00Z</dcterms:created>
  <dc:creator>Administrator</dc:creator>
  <cp:lastModifiedBy>Administrator</cp:lastModifiedBy>
  <dcterms:modified xsi:type="dcterms:W3CDTF">2020-09-27T06:27:09Z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